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 that your observation goes further than the defaults. For the example, even with the new defaults, \hat{R} of the contributions is 1.01 to 1.11 and the effective sample sizes are about 50 to 140, short of the recommended values. A run four times longer did not improve them. The sampler mixes slowly for these data. The manual now says how to read the diagnostics and what to do when they cannot be met (Section 4.1.1). Improving the sampler is a separate piece of work. </w:t>
      </w:r>
      <w:r>
        <w:rPr>
          <w:b/>
          <w:color w:val="1446AA"/>
        </w:rPr>
        <w:t xml:space="preserve">[Arash: improve the sampler’s mixing, for example by fixing the proposal scale after the burn-in.]</w:t>
      </w:r>
    </w:p>
    <w:p>
      <w:pPr/>
      <w:r>
        <w:rPr>
          <w:i/>
        </w:rPr>
        <w:t xml:space="preserve">Status: </w:t>
      </w:r>
      <w:r>
        <w:t xml:space="preserve">Defaults and diagnostics done; sampler mixing to improve.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58"/>
        <w:gridCol w:w="1000"/>
        <w:gridCol w:w="5002"/>
      </w:tblGrid>
      <w:tr>
        <w:trPr>
          <w:tblHeader/>
        </w:trPr>
        <w:tc>
          <w:tcPr>
            <w:tcW w:w="3358" w:type="dxa"/>
            <w:shd w:val="clear" w:color="auto" w:fill="E6EFEA"/>
          </w:tcPr>
          <w:p>
            <w:pPr>
              <w:pStyle w:val="TableText"/>
            </w:pPr>
            <w:r>
              <w:rPr>
                <w:b/>
              </w:rPr>
              <w:t xml:space="preserve">Item</w:t>
            </w:r>
          </w:p>
        </w:tc>
        <w:tc>
          <w:tcPr>
            <w:tcW w:w="1000" w:type="dxa"/>
            <w:shd w:val="clear" w:color="auto" w:fill="E6EFEA"/>
          </w:tcPr>
          <w:p>
            <w:pPr>
              <w:pStyle w:val="TableText"/>
            </w:pPr>
            <w:r>
              <w:rPr>
                <w:b/>
              </w:rPr>
              <w:t xml:space="preserve">Who</w:t>
            </w:r>
          </w:p>
        </w:tc>
        <w:tc>
          <w:tcPr>
            <w:tcW w:w="5002" w:type="dxa"/>
            <w:shd w:val="clear" w:color="auto" w:fill="E6EFEA"/>
          </w:tcPr>
          <w:p>
            <w:pPr>
              <w:pStyle w:val="TableText"/>
            </w:pPr>
            <w:r>
              <w:rPr>
                <w:b/>
              </w:rPr>
              <w:t xml:space="preserve">Note</w:t>
            </w:r>
          </w:p>
        </w:tc>
      </w:tr>
      <w:tr>
        <w:trPr>
          <w:cantSplit/>
        </w:trPr>
        <w:tc>
          <w:tcPr>
            <w:tcW w:w="3358" w:type="dxa"/>
          </w:tcPr>
          <w:p>
            <w:pPr>
              <w:pStyle w:val="TableText"/>
            </w:pPr>
            <w:r>
              <w:t xml:space="preserve">Repository path, DOI, version, publication date</w:t>
            </w:r>
          </w:p>
        </w:tc>
        <w:tc>
          <w:tcPr>
            <w:tcW w:w="1000" w:type="dxa"/>
          </w:tcPr>
          <w:p>
            <w:pPr>
              <w:pStyle w:val="TableText"/>
            </w:pPr>
            <w:r>
              <w:rPr>
                <w:b/>
                <w:color w:val="BE1E1E"/>
              </w:rPr>
              <w:t xml:space="preserve">[Cara]</w:t>
            </w:r>
          </w:p>
        </w:tc>
        <w:tc>
          <w:tcPr>
            <w:tcW w:w="5002" w:type="dxa"/>
          </w:tcPr>
          <w:p>
            <w:pPr>
              <w:pStyle w:val="TableText"/>
            </w:pPr>
            <w:r>
              <w:t xml:space="preserve">README, citation and manual title page hold placeholders.</w:t>
            </w:r>
          </w:p>
        </w:tc>
      </w:tr>
      <w:tr>
        <w:trPr>
          <w:cantSplit/>
        </w:trPr>
        <w:tc>
          <w:tcPr>
            <w:tcW w:w="3358" w:type="dxa"/>
          </w:tcPr>
          <w:p>
            <w:pPr>
              <w:pStyle w:val="TableText"/>
            </w:pPr>
            <w:r>
              <w:t xml:space="preserve">sedsat.org and its download form</w:t>
            </w:r>
          </w:p>
        </w:tc>
        <w:tc>
          <w:tcPr>
            <w:tcW w:w="1000" w:type="dxa"/>
          </w:tcPr>
          <w:p>
            <w:pPr>
              <w:pStyle w:val="TableText"/>
            </w:pPr>
            <w:r>
              <w:rPr>
                <w:b/>
                <w:color w:val="BE1E1E"/>
              </w:rPr>
              <w:t xml:space="preserve">[Cara, Allen]</w:t>
            </w:r>
          </w:p>
        </w:tc>
        <w:tc>
          <w:tcPr>
            <w:tcW w:w="5002" w:type="dxa"/>
          </w:tcPr>
          <w:p>
            <w:pPr>
              <w:pStyle w:val="TableText"/>
            </w:pPr>
            <w:r>
              <w:t xml:space="preserve">Retire it or keep it as a pointer; check the form against USGS guidelines if it stays. Code-signing of the Windows package.</w:t>
            </w:r>
          </w:p>
        </w:tc>
      </w:tr>
      <w:tr>
        <w:trPr>
          <w:cantSplit/>
        </w:trPr>
        <w:tc>
          <w:tcPr>
            <w:tcW w:w="3358" w:type="dxa"/>
          </w:tcPr>
          <w:p>
            <w:pPr>
              <w:pStyle w:val="TableText"/>
            </w:pPr>
            <w:r>
              <w:t xml:space="preserve">USGS colour guidance</w:t>
            </w:r>
          </w:p>
        </w:tc>
        <w:tc>
          <w:tcPr>
            <w:tcW w:w="1000" w:type="dxa"/>
          </w:tcPr>
          <w:p>
            <w:pPr>
              <w:pStyle w:val="TableText"/>
            </w:pPr>
            <w:r>
              <w:rPr>
                <w:b/>
                <w:color w:val="BE1E1E"/>
              </w:rPr>
              <w:t xml:space="preserve">[Cara]</w:t>
            </w:r>
          </w:p>
        </w:tc>
        <w:tc>
          <w:tcPr>
            <w:tcW w:w="5002" w:type="dxa"/>
          </w:tcPr>
          <w:p>
            <w:pPr>
              <w:pStyle w:val="TableText"/>
            </w:pPr>
            <w:r>
              <w:t xml:space="preserve">The charts use the Okabe–Ito colour-blind-safe palette.</w:t>
            </w:r>
          </w:p>
        </w:tc>
      </w:tr>
      <w:tr>
        <w:trPr>
          <w:cantSplit/>
        </w:trPr>
        <w:tc>
          <w:tcPr>
            <w:tcW w:w="3358" w:type="dxa"/>
          </w:tcPr>
          <w:p>
            <w:pPr>
              <w:pStyle w:val="TableText"/>
            </w:pPr>
            <w:r>
              <w:t xml:space="preserve">Sed_SAT 1.0 comparison</w:t>
            </w:r>
          </w:p>
        </w:tc>
        <w:tc>
          <w:tcPr>
            <w:tcW w:w="1000" w:type="dxa"/>
          </w:tcPr>
          <w:p>
            <w:pPr>
              <w:pStyle w:val="TableText"/>
            </w:pPr>
            <w:r>
              <w:rPr>
                <w:b/>
                <w:color w:val="BE1E1E"/>
              </w:rPr>
              <w:t xml:space="preserve">[Allen, Lilly]</w:t>
            </w:r>
          </w:p>
        </w:tc>
        <w:tc>
          <w:tcPr>
            <w:tcW w:w="5002" w:type="dxa"/>
          </w:tcPr>
          <w:p>
            <w:pPr>
              <w:pStyle w:val="TableText"/>
            </w:pPr>
            <w:r>
              <w:t xml:space="preserve">Review the last column of Table 1.1, and say which Sed_SAT 1.0 features SedSAT3 should have.</w:t>
            </w:r>
          </w:p>
        </w:tc>
      </w:tr>
      <w:tr>
        <w:trPr>
          <w:cantSplit/>
        </w:trPr>
        <w:tc>
          <w:tcPr>
            <w:tcW w:w="3358" w:type="dxa"/>
          </w:tcPr>
          <w:p>
            <w:pPr>
              <w:pStyle w:val="TableText"/>
            </w:pPr>
            <w:r>
              <w:t xml:space="preserve">Genetic algorithm section</w:t>
            </w:r>
          </w:p>
        </w:tc>
        <w:tc>
          <w:tcPr>
            <w:tcW w:w="1000" w:type="dxa"/>
          </w:tcPr>
          <w:p>
            <w:pPr>
              <w:pStyle w:val="TableText"/>
            </w:pPr>
            <w:r>
              <w:rPr>
                <w:b/>
                <w:color w:val="BE1E1E"/>
              </w:rPr>
              <w:t xml:space="preserve">[Allen, Cara]</w:t>
            </w:r>
          </w:p>
        </w:tc>
        <w:tc>
          <w:tcPr>
            <w:tcW w:w="5002" w:type="dxa"/>
          </w:tcPr>
          <w:p>
            <w:pPr>
              <w:pStyle w:val="TableText"/>
            </w:pPr>
            <w:r>
              <w:t xml:space="preserve">Keep (marked as not in this release) or remove.</w:t>
            </w:r>
          </w:p>
        </w:tc>
      </w:tr>
      <w:tr>
        <w:trPr>
          <w:cantSplit/>
        </w:trPr>
        <w:tc>
          <w:tcPr>
            <w:tcW w:w="3358" w:type="dxa"/>
          </w:tcPr>
          <w:p>
            <w:pPr>
              <w:pStyle w:val="TableText"/>
            </w:pPr>
            <w:r>
              <w:t xml:space="preserve">Screenshots to retake</w:t>
            </w:r>
          </w:p>
        </w:tc>
        <w:tc>
          <w:tcPr>
            <w:tcW w:w="1000" w:type="dxa"/>
          </w:tcPr>
          <w:p>
            <w:pPr>
              <w:pStyle w:val="TableText"/>
            </w:pPr>
            <w:r>
              <w:rPr>
                <w:b/>
                <w:color w:val="1446AA"/>
              </w:rPr>
              <w:t xml:space="preserve">[Arash: Arash]</w:t>
            </w:r>
          </w:p>
        </w:tc>
        <w:tc>
          <w:tcPr>
            <w:tcW w:w="5002" w:type="dxa"/>
          </w:tcPr>
          <w:p>
            <w:pPr>
              <w:pStyle w:val="TableText"/>
            </w:pPr>
            <w:r>
              <w:t xml:space="preserve">Seven figures of the main window, the progress window and files.</w:t>
            </w:r>
          </w:p>
        </w:tc>
      </w:tr>
      <w:tr>
        <w:trPr>
          <w:cantSplit/>
        </w:trPr>
        <w:tc>
          <w:tcPr>
            <w:tcW w:w="3358" w:type="dxa"/>
          </w:tcPr>
          <w:p>
            <w:pPr>
              <w:pStyle w:val="TableText"/>
            </w:pPr>
            <w:r>
              <w:t xml:space="preserve">virtual-mixture.xlsx</w:t>
            </w:r>
          </w:p>
        </w:tc>
        <w:tc>
          <w:tcPr>
            <w:tcW w:w="1000" w:type="dxa"/>
          </w:tcPr>
          <w:p>
            <w:pPr>
              <w:pStyle w:val="TableText"/>
            </w:pPr>
            <w:r>
              <w:rPr>
                <w:b/>
                <w:color w:val="1446AA"/>
              </w:rPr>
              <w:t xml:space="preserve">[Arash: Arash]</w:t>
            </w:r>
          </w:p>
        </w:tc>
        <w:tc>
          <w:tcPr>
            <w:tcW w:w="5002" w:type="dxa"/>
          </w:tcPr>
          <w:p>
            <w:pPr>
              <w:pStyle w:val="TableText"/>
            </w:pPr>
            <w:r>
              <w:t xml:space="preserve">Replace it with SampleData.xlsx in the Windows package.</w:t>
            </w:r>
          </w:p>
        </w:tc>
      </w:tr>
      <w:tr>
        <w:trPr>
          <w:cantSplit/>
        </w:trPr>
        <w:tc>
          <w:tcPr>
            <w:tcW w:w="3358" w:type="dxa"/>
          </w:tcPr>
          <w:p>
            <w:pPr>
              <w:pStyle w:val="TableText"/>
            </w:pPr>
            <w:r>
              <w:t xml:space="preserve">Constituent order</w:t>
            </w:r>
          </w:p>
        </w:tc>
        <w:tc>
          <w:tcPr>
            <w:tcW w:w="1000" w:type="dxa"/>
          </w:tcPr>
          <w:p>
            <w:pPr>
              <w:pStyle w:val="TableText"/>
            </w:pPr>
            <w:r>
              <w:rPr>
                <w:b/>
                <w:color w:val="1446AA"/>
              </w:rPr>
              <w:t xml:space="preserve">[Arash: Arash]</w:t>
            </w:r>
          </w:p>
        </w:tc>
        <w:tc>
          <w:tcPr>
            <w:tcW w:w="5002" w:type="dxa"/>
          </w:tcPr>
          <w:p>
            <w:pPr>
              <w:pStyle w:val="TableText"/>
            </w:pPr>
            <w:r>
              <w:t xml:space="preserve">Keep the Excel column order; planned separately.</w:t>
            </w:r>
          </w:p>
        </w:tc>
      </w:tr>
      <w:tr>
        <w:trPr>
          <w:cantSplit/>
        </w:trPr>
        <w:tc>
          <w:tcPr>
            <w:tcW w:w="3358" w:type="dxa"/>
          </w:tcPr>
          <w:p>
            <w:pPr>
              <w:pStyle w:val="TableText"/>
            </w:pPr>
            <w:r>
              <w:t xml:space="preserve">Notes column; target sheet dialog</w:t>
            </w:r>
          </w:p>
        </w:tc>
        <w:tc>
          <w:tcPr>
            <w:tcW w:w="1000" w:type="dxa"/>
          </w:tcPr>
          <w:p>
            <w:pPr>
              <w:pStyle w:val="TableText"/>
            </w:pPr>
            <w:r>
              <w:rPr>
                <w:b/>
                <w:color w:val="1446AA"/>
              </w:rPr>
              <w:t xml:space="preserve">[Arash: Arash]</w:t>
            </w:r>
          </w:p>
        </w:tc>
        <w:tc>
          <w:tcPr>
            <w:tcW w:w="5002" w:type="dxa"/>
          </w:tcPr>
          <w:p>
            <w:pPr>
              <w:pStyle w:val="TableText"/>
            </w:pPr>
            <w:r>
              <w:t xml:space="preserve">Enhancements suggested in the review.</w:t>
            </w:r>
          </w:p>
        </w:tc>
      </w:tr>
      <w:tr>
        <w:trPr>
          <w:cantSplit/>
        </w:trPr>
        <w:tc>
          <w:tcPr>
            <w:tcW w:w="3358" w:type="dxa"/>
          </w:tcPr>
          <w:p>
            <w:pPr>
              <w:pStyle w:val="TableText"/>
            </w:pPr>
            <w:r>
              <w:t xml:space="preserve">MCMC mixing</w:t>
            </w:r>
          </w:p>
        </w:tc>
        <w:tc>
          <w:tcPr>
            <w:tcW w:w="1000" w:type="dxa"/>
          </w:tcPr>
          <w:p>
            <w:pPr>
              <w:pStyle w:val="TableText"/>
            </w:pPr>
            <w:r>
              <w:rPr>
                <w:b/>
                <w:color w:val="1446AA"/>
              </w:rPr>
              <w:t xml:space="preserve">[Arash: Arash]</w:t>
            </w:r>
          </w:p>
        </w:tc>
        <w:tc>
          <w:tcPr>
            <w:tcW w:w="5002" w:type="dxa"/>
          </w:tcPr>
          <w:p>
            <w:pPr>
              <w:pStyle w:val="TableText"/>
            </w:pPr>
            <w:r>
              <w:t xml:space="preserve">The diagnostics show slow mixing for the example; improve the sampler.</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2026-10-23T14:34:53Z</dcterms:created>
</cp:coreProperties>
</file>