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color-blind-safe palette with the same color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The Windows package now ships </w:t>
      </w:r>
      <w:r>
        <w:rPr>
          <w:rFonts w:ascii="Consolas" w:hAnsi="Consolas" w:cs="Consolas"/>
          <w:sz w:val="19"/>
        </w:rPr>
        <w:t xml:space="preserve">examples/SampleData.xlsx</w:t>
      </w:r>
      <w:r>
        <w:t xml:space="preserve"> only; the packaging instructions say so, and </w:t>
      </w:r>
      <w:r>
        <w:rPr>
          <w:rFonts w:ascii="Consolas" w:hAnsi="Consolas" w:cs="Consolas"/>
          <w:sz w:val="19"/>
        </w:rPr>
        <w:t xml:space="preserve">virtual-mixture.xlsx</w:t>
      </w:r>
      <w:r>
        <w:t xml:space="preserve"> is no longer included.</w:t>
      </w:r>
    </w:p>
    <w:p>
      <w:pPr/>
      <w:r>
        <w:rPr>
          <w:i/>
        </w:rPr>
        <w:t xml:space="preserve">Status: </w:t>
      </w:r>
      <w:r>
        <w:t xml:space="preserve">Done.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We decided as follows:</w:t>
      </w:r>
    </w:p>
    <w:p>
      <w:pPr>
        <w:pStyle w:val="ListBullet"/>
        <w:numPr>
          <w:ilvl w:val="0"/>
          <w:numId w:val="1"/>
        </w:numPr>
      </w:pPr>
      <w:r>
        <w:rPr>
          <w:b/>
        </w:rPr>
        <w:t xml:space="preserve">Values below detection:</w:t>
      </w:r>
      <w:r>
        <w:t xml:space="preserve"> not added. The substitution for a non-detect depends on the laboratory and the method, so it is the analyst’s choice; the user replaces these values before import, as the manual explains (Chapter 2).</w:t>
      </w:r>
    </w:p>
    <w:p>
      <w:pPr>
        <w:pStyle w:val="ListBullet"/>
        <w:numPr>
          <w:ilvl w:val="0"/>
          <w:numId w:val="1"/>
        </w:numPr>
      </w:pPr>
      <w:r>
        <w:rPr>
          <w:b/>
        </w:rPr>
        <w:t xml:space="preserve">Bracket test tolerance:</w:t>
      </w:r>
      <w:r>
        <w:t xml:space="preserve"> added. A new option, </w:t>
      </w:r>
      <w:r>
        <w:rPr>
          <w:i/>
        </w:rPr>
        <w:t xml:space="preserve">Tolerance (%)</w:t>
      </w:r>
      <w:r>
        <w:t xml:space="preserve">, lowers the minimum and raises the maximum of all source samples by that percentage of their range before the test (Section 3.3). The default is 0, the strict test, so results do not change unless it is chosen. Sed_SAT 1.0 widened the minimum and maximum by a percentage of their own values instead; a margin based on the range works the same for δ values, which can be negative or near zero.</w:t>
      </w:r>
    </w:p>
    <w:p>
      <w:pPr>
        <w:pStyle w:val="ListBullet"/>
        <w:numPr>
          <w:ilvl w:val="0"/>
          <w:numId w:val="1"/>
        </w:numPr>
      </w:pPr>
      <w:r>
        <w:rPr>
          <w:b/>
        </w:rPr>
        <w:t xml:space="preserve">DFA weighting factors:</w:t>
      </w:r>
      <w:r>
        <w:t xml:space="preserve"> not added. The Bayesian model already estimates an error standard deviation for each constituent, which weights the constituents by how well the mixing model reproduces them. Weights from the DFA would favor the tracers that separate the sources best, not those that behave conservatively.</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The screenshots of the main window, the sheet dialog and the progress window were also retaken with the current program, and the pictures of the batch output folders and files are replaced by excerpts of a real batch run of the example data, as text.</w:t>
      </w:r>
    </w:p>
    <w:p>
      <w:pPr/>
      <w:r>
        <w:rPr>
          <w:i/>
        </w:rPr>
        <w:t xml:space="preserve">Status: </w:t>
      </w:r>
      <w:r>
        <w:t xml:space="preserve">Done.</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which covers the “missing” item; the PDF has a full table of contents. </w:t>
      </w:r>
      <w:r>
        <w:rPr>
          <w:b/>
          <w:color w:val="BE1E1E"/>
        </w:rPr>
        <w:t xml:space="preserve">[Cara: confirm the version number and set the publication date.]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center, which is faint. The dialog now shows the target sheet’s name in bold, marked “(target)”, and names it at the top. It also refuses </w:t>
      </w:r>
      <w:r>
        <w:rPr>
          <w:b/>
        </w:rPr>
        <w:t xml:space="preserve">Ok</w:t>
      </w:r>
      <w:r>
        <w:t xml:space="preserve"> when no sheet is marked as the target, which used to be possible.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We considered this and decided to keep the alphabetical order. The project file stores the constituents by name, with no column order, so a saved project and every result use one order that does not depend on how a spreadsheet was arranged: two datasets with the same constituents give their results in the same order, which makes runs, projects and the command-line tool’s output directly comparable. With 24 constituents in the example data, an alphabetical list is also the quickest to search. Where the order carries meaning, the tools use their own: the stepwise DFA lists the constituents in the order they entered. Every result table can be exported to CSV and reordered in a spreadsheet if another order is wanted. The manual now states that constituents are listed alphabetically, and why.</w:t>
      </w:r>
    </w:p>
    <w:p>
      <w:pPr/>
      <w:r>
        <w:rPr>
          <w:i/>
        </w:rPr>
        <w:t xml:space="preserve">Status: </w:t>
      </w:r>
      <w:r>
        <w:t xml:space="preserve">Closed: alphabetical order kept.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Thank you for the suggestion: the constituent properties table now has a sixth, free-text </w:t>
      </w:r>
      <w:r>
        <w:rPr>
          <w:i/>
        </w:rPr>
        <w:t xml:space="preserve">Notes</w:t>
      </w:r>
      <w:r>
        <w:t xml:space="preserve"> column. Double-click a cell to record, for example, why a constituent was excluded; the notes are saved with the project (Section 2.1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colors were random, chosen again for each plot. All charts now use the Okabe–Ito color-blind-safe palette, and in the DFA plot each group keeps its color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Because </w:t>
      </w:r>
      <w:r>
        <w:rPr>
          <w:i/>
        </w:rPr>
        <w:t xml:space="preserve">Dissolve Chains</w:t>
      </w:r>
      <w:r>
        <w:t xml:space="preserve"> made the worst-mixing parameters worse in every case, it is now unchecked by default.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analyzed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colors, and each pair keeps its color.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84"/>
        <w:gridCol w:w="936"/>
        <w:gridCol w:w="5040"/>
      </w:tblGrid>
      <w:tr>
        <w:trPr>
          <w:tblHeader/>
        </w:trPr>
        <w:tc>
          <w:tcPr>
            <w:tcW w:w="3384" w:type="dxa"/>
            <w:shd w:val="clear" w:color="auto" w:fill="E6EFEA"/>
          </w:tcPr>
          <w:p>
            <w:pPr>
              <w:pStyle w:val="TableText"/>
            </w:pPr>
            <w:r>
              <w:rPr>
                <w:b/>
              </w:rPr>
              <w:t xml:space="preserve">Item</w:t>
            </w:r>
          </w:p>
        </w:tc>
        <w:tc>
          <w:tcPr>
            <w:tcW w:w="936" w:type="dxa"/>
            <w:shd w:val="clear" w:color="auto" w:fill="E6EFEA"/>
          </w:tcPr>
          <w:p>
            <w:pPr>
              <w:pStyle w:val="TableText"/>
            </w:pPr>
            <w:r>
              <w:rPr>
                <w:b/>
              </w:rPr>
              <w:t xml:space="preserve">Who</w:t>
            </w:r>
          </w:p>
        </w:tc>
        <w:tc>
          <w:tcPr>
            <w:tcW w:w="5040" w:type="dxa"/>
            <w:shd w:val="clear" w:color="auto" w:fill="E6EFEA"/>
          </w:tcPr>
          <w:p>
            <w:pPr>
              <w:pStyle w:val="TableText"/>
            </w:pPr>
            <w:r>
              <w:rPr>
                <w:b/>
              </w:rPr>
              <w:t xml:space="preserve">Note</w:t>
            </w:r>
          </w:p>
        </w:tc>
      </w:tr>
      <w:tr>
        <w:trPr>
          <w:cantSplit/>
        </w:trPr>
        <w:tc>
          <w:tcPr>
            <w:tcW w:w="3384" w:type="dxa"/>
          </w:tcPr>
          <w:p>
            <w:pPr>
              <w:pStyle w:val="TableText"/>
            </w:pPr>
            <w:r>
              <w:t xml:space="preserve">Repository path, DOI, version, publication date</w:t>
            </w:r>
          </w:p>
        </w:tc>
        <w:tc>
          <w:tcPr>
            <w:tcW w:w="936" w:type="dxa"/>
          </w:tcPr>
          <w:p>
            <w:pPr>
              <w:pStyle w:val="TableText"/>
            </w:pPr>
            <w:r>
              <w:rPr>
                <w:b/>
                <w:color w:val="BE1E1E"/>
              </w:rPr>
              <w:t xml:space="preserve">[Cara]</w:t>
            </w:r>
          </w:p>
        </w:tc>
        <w:tc>
          <w:tcPr>
            <w:tcW w:w="5040" w:type="dxa"/>
          </w:tcPr>
          <w:p>
            <w:pPr>
              <w:pStyle w:val="TableText"/>
            </w:pPr>
            <w:r>
              <w:t xml:space="preserve">README, citation and manual title page hold placeholders.</w:t>
            </w:r>
          </w:p>
        </w:tc>
      </w:tr>
      <w:tr>
        <w:trPr>
          <w:cantSplit/>
        </w:trPr>
        <w:tc>
          <w:tcPr>
            <w:tcW w:w="3384" w:type="dxa"/>
          </w:tcPr>
          <w:p>
            <w:pPr>
              <w:pStyle w:val="TableText"/>
            </w:pPr>
            <w:r>
              <w:t xml:space="preserve">sedsat.org and its download form</w:t>
            </w:r>
          </w:p>
        </w:tc>
        <w:tc>
          <w:tcPr>
            <w:tcW w:w="936" w:type="dxa"/>
          </w:tcPr>
          <w:p>
            <w:pPr>
              <w:pStyle w:val="TableText"/>
            </w:pPr>
            <w:r>
              <w:rPr>
                <w:b/>
                <w:color w:val="BE1E1E"/>
              </w:rPr>
              <w:t xml:space="preserve">[Cara, Allen]</w:t>
            </w:r>
          </w:p>
        </w:tc>
        <w:tc>
          <w:tcPr>
            <w:tcW w:w="5040" w:type="dxa"/>
          </w:tcPr>
          <w:p>
            <w:pPr>
              <w:pStyle w:val="TableText"/>
            </w:pPr>
            <w:r>
              <w:t xml:space="preserve">Retire it or keep it as a pointer; check the form against USGS guidelines if it stays. Code-signing of the Windows package.</w:t>
            </w:r>
          </w:p>
        </w:tc>
      </w:tr>
      <w:tr>
        <w:trPr>
          <w:cantSplit/>
        </w:trPr>
        <w:tc>
          <w:tcPr>
            <w:tcW w:w="3384" w:type="dxa"/>
          </w:tcPr>
          <w:p>
            <w:pPr>
              <w:pStyle w:val="TableText"/>
            </w:pPr>
            <w:r>
              <w:t xml:space="preserve">USGS color guidance</w:t>
            </w:r>
          </w:p>
        </w:tc>
        <w:tc>
          <w:tcPr>
            <w:tcW w:w="936" w:type="dxa"/>
          </w:tcPr>
          <w:p>
            <w:pPr>
              <w:pStyle w:val="TableText"/>
            </w:pPr>
            <w:r>
              <w:rPr>
                <w:b/>
                <w:color w:val="BE1E1E"/>
              </w:rPr>
              <w:t xml:space="preserve">[Cara]</w:t>
            </w:r>
          </w:p>
        </w:tc>
        <w:tc>
          <w:tcPr>
            <w:tcW w:w="5040" w:type="dxa"/>
          </w:tcPr>
          <w:p>
            <w:pPr>
              <w:pStyle w:val="TableText"/>
            </w:pPr>
            <w:r>
              <w:t xml:space="preserve">The charts use the Okabe–Ito color-blind-safe palette.</w:t>
            </w:r>
          </w:p>
        </w:tc>
      </w:tr>
      <w:tr>
        <w:trPr>
          <w:cantSplit/>
        </w:trPr>
        <w:tc>
          <w:tcPr>
            <w:tcW w:w="3384" w:type="dxa"/>
          </w:tcPr>
          <w:p>
            <w:pPr>
              <w:pStyle w:val="TableText"/>
            </w:pPr>
            <w:r>
              <w:t xml:space="preserve">Sed_SAT 1.0 comparison</w:t>
            </w:r>
          </w:p>
        </w:tc>
        <w:tc>
          <w:tcPr>
            <w:tcW w:w="936" w:type="dxa"/>
          </w:tcPr>
          <w:p>
            <w:pPr>
              <w:pStyle w:val="TableText"/>
            </w:pPr>
            <w:r>
              <w:rPr>
                <w:b/>
                <w:color w:val="BE1E1E"/>
              </w:rPr>
              <w:t xml:space="preserve">[Allen]</w:t>
            </w:r>
          </w:p>
        </w:tc>
        <w:tc>
          <w:tcPr>
            <w:tcW w:w="5040" w:type="dxa"/>
          </w:tcPr>
          <w:p>
            <w:pPr>
              <w:pStyle w:val="TableText"/>
            </w:pPr>
            <w:r>
              <w:t xml:space="preserve">Review the last column of Table 1.1.</w:t>
            </w:r>
          </w:p>
        </w:tc>
      </w:tr>
      <w:tr>
        <w:trPr>
          <w:cantSplit/>
        </w:trPr>
        <w:tc>
          <w:tcPr>
            <w:tcW w:w="3384" w:type="dxa"/>
          </w:tcPr>
          <w:p>
            <w:pPr>
              <w:pStyle w:val="TableText"/>
            </w:pPr>
            <w:r>
              <w:t xml:space="preserve">Genetic algorithm section</w:t>
            </w:r>
          </w:p>
        </w:tc>
        <w:tc>
          <w:tcPr>
            <w:tcW w:w="936" w:type="dxa"/>
          </w:tcPr>
          <w:p>
            <w:pPr>
              <w:pStyle w:val="TableText"/>
            </w:pPr>
            <w:r>
              <w:rPr>
                <w:b/>
                <w:color w:val="BE1E1E"/>
              </w:rPr>
              <w:t xml:space="preserve">[Allen, Cara]</w:t>
            </w:r>
          </w:p>
        </w:tc>
        <w:tc>
          <w:tcPr>
            <w:tcW w:w="5040" w:type="dxa"/>
          </w:tcPr>
          <w:p>
            <w:pPr>
              <w:pStyle w:val="TableText"/>
            </w:pPr>
            <w:r>
              <w:t xml:space="preserve">Keep (marked as not in this release) or remove.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2026-10-23T20:57:01Z</dcterms:created>
</cp:coreProperties>
</file>