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22,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619f0a6</w:t>
      </w:r>
      <w:r>
        <w:t xml:space="preserve">, </w:t>
      </w:r>
      <w:r>
        <w:rPr>
          <w:rFonts w:ascii="Consolas" w:hAnsi="Consolas" w:cs="Consolas"/>
          <w:sz w:val="19"/>
        </w:rPr>
        <w:t xml:space="preserve">d0acec7</w:t>
      </w:r>
      <w:r>
        <w:t xml:space="preserve">, </w:t>
      </w:r>
      <w:r>
        <w:rPr>
          <w:rFonts w:ascii="Consolas" w:hAnsi="Consolas" w:cs="Consolas"/>
          <w:sz w:val="19"/>
        </w:rPr>
        <w:t xml:space="preserve">839772d</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619f0a6</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619f0a6</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d0acec7</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619f0a6</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619f0a6</w:t>
      </w:r>
      <w:r>
        <w:t xml:space="preserve">, </w:t>
      </w:r>
      <w:r>
        <w:rPr>
          <w:rFonts w:ascii="Consolas" w:hAnsi="Consolas" w:cs="Consolas"/>
          <w:sz w:val="19"/>
        </w:rPr>
        <w:t xml:space="preserve">d0acec7</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839772d</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listing every method and where it is described. Its last column, comparing each method with Sed_SAT 1.0, is left for you and Allen, who know Sed_SAT 1.0 best. </w:t>
      </w:r>
      <w:r>
        <w:rPr>
          <w:b/>
          <w:color w:val="BE1E1E"/>
        </w:rPr>
        <w:t xml:space="preserve">[Allen, Lilly: fill in the comparison column.]</w:t>
      </w:r>
    </w:p>
    <w:p>
      <w:pPr/>
      <w:r>
        <w:rPr>
          <w:i/>
        </w:rPr>
        <w:t xml:space="preserve">Status: </w:t>
      </w:r>
      <w:r>
        <w:t xml:space="preserve">Table added; comparison to be filled in.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1.1.7,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619f0a6</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The N15 values are given. For C13, I need to check the example’s base element before stating it: the test project uses Calcium with 0.011113, but the base element for δ¹³C should be the carbon content. </w:t>
      </w:r>
      <w:r>
        <w:rPr>
          <w:b/>
          <w:color w:val="1446AA"/>
        </w:rPr>
        <w:t xml:space="preserve">[Arash: settle the base element and standard ratio for C13 in the example (TOC cannot be both the organic matter constituent and a base element), and state them in Section 2.1.]</w:t>
      </w:r>
    </w:p>
    <w:p>
      <w:pPr/>
      <w:r>
        <w:rPr>
          <w:i/>
        </w:rPr>
        <w:t xml:space="preserve">Status: </w:t>
      </w:r>
      <w:r>
        <w:t xml:space="preserve">Done except the C13 values.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619f0a6</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619f0a6</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619f0a6</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619f0a6</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Source Verification does this: it treats each source sample as a target and shows which groups it is attributed to. The manual now presents it in that light (Section 5.4.2). A summary confusion matrix from the DFA is a good addition. </w:t>
      </w:r>
      <w:r>
        <w:rPr>
          <w:b/>
          <w:color w:val="1446AA"/>
        </w:rPr>
        <w:t xml:space="preserve">[Arash: add a confusion matrix (DFA classification of the source samples) to step 4.]</w:t>
      </w:r>
    </w:p>
    <w:p>
      <w:pPr/>
      <w:r>
        <w:rPr>
          <w:i/>
        </w:rPr>
        <w:t xml:space="preserve">Status: </w:t>
      </w:r>
      <w:r>
        <w:t xml:space="preserve">Documented; addition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so the default run converges. In the example, the chains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r>
        <w:rPr>
          <w:i/>
        </w:rPr>
        <w:t xml:space="preserve">Status: </w:t>
      </w:r>
      <w:r>
        <w:t xml:space="preserve">Done (</w:t>
      </w:r>
      <w:r>
        <w:rPr>
          <w:rFonts w:ascii="Consolas" w:hAnsi="Consolas" w:cs="Consolas"/>
          <w:sz w:val="19"/>
        </w:rPr>
        <w:t xml:space="preserve">619f0a6</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619f0a6</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619f0a6</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619f0a6</w:t>
      </w:r>
      <w:r>
        <w:t xml:space="preserve">, </w:t>
      </w:r>
      <w:r>
        <w:rPr>
          <w:rFonts w:ascii="Consolas" w:hAnsi="Consolas" w:cs="Consolas"/>
          <w:sz w:val="19"/>
        </w:rPr>
        <w:t xml:space="preserve">839772d</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536"/>
        <w:gridCol w:w="970"/>
        <w:gridCol w:w="4854"/>
      </w:tblGrid>
      <w:tr>
        <w:trPr>
          <w:tblHeader/>
        </w:trPr>
        <w:tc>
          <w:tcPr>
            <w:tcW w:w="3536" w:type="dxa"/>
            <w:shd w:val="clear" w:color="auto" w:fill="E6EFEA"/>
          </w:tcPr>
          <w:p>
            <w:pPr>
              <w:pStyle w:val="TableText"/>
            </w:pPr>
            <w:r>
              <w:rPr>
                <w:b/>
              </w:rPr>
              <w:t xml:space="preserve">Item</w:t>
            </w:r>
          </w:p>
        </w:tc>
        <w:tc>
          <w:tcPr>
            <w:tcW w:w="970" w:type="dxa"/>
            <w:shd w:val="clear" w:color="auto" w:fill="E6EFEA"/>
          </w:tcPr>
          <w:p>
            <w:pPr>
              <w:pStyle w:val="TableText"/>
            </w:pPr>
            <w:r>
              <w:rPr>
                <w:b/>
              </w:rPr>
              <w:t xml:space="preserve">Who</w:t>
            </w:r>
          </w:p>
        </w:tc>
        <w:tc>
          <w:tcPr>
            <w:tcW w:w="4854" w:type="dxa"/>
            <w:shd w:val="clear" w:color="auto" w:fill="E6EFEA"/>
          </w:tcPr>
          <w:p>
            <w:pPr>
              <w:pStyle w:val="TableText"/>
            </w:pPr>
            <w:r>
              <w:rPr>
                <w:b/>
              </w:rPr>
              <w:t xml:space="preserve">Note</w:t>
            </w:r>
          </w:p>
        </w:tc>
      </w:tr>
      <w:tr>
        <w:trPr>
          <w:cantSplit/>
        </w:trPr>
        <w:tc>
          <w:tcPr>
            <w:tcW w:w="3536" w:type="dxa"/>
          </w:tcPr>
          <w:p>
            <w:pPr>
              <w:pStyle w:val="TableText"/>
            </w:pPr>
            <w:r>
              <w:t xml:space="preserve">Repository path, DOI, version, publication date</w:t>
            </w:r>
          </w:p>
        </w:tc>
        <w:tc>
          <w:tcPr>
            <w:tcW w:w="970" w:type="dxa"/>
          </w:tcPr>
          <w:p>
            <w:pPr>
              <w:pStyle w:val="TableText"/>
            </w:pPr>
            <w:r>
              <w:rPr>
                <w:b/>
                <w:color w:val="BE1E1E"/>
              </w:rPr>
              <w:t xml:space="preserve">[Cara]</w:t>
            </w:r>
          </w:p>
        </w:tc>
        <w:tc>
          <w:tcPr>
            <w:tcW w:w="4854" w:type="dxa"/>
          </w:tcPr>
          <w:p>
            <w:pPr>
              <w:pStyle w:val="TableText"/>
            </w:pPr>
            <w:r>
              <w:t xml:space="preserve">README, citation and manual title page hold placeholders.</w:t>
            </w:r>
          </w:p>
        </w:tc>
      </w:tr>
      <w:tr>
        <w:trPr>
          <w:cantSplit/>
        </w:trPr>
        <w:tc>
          <w:tcPr>
            <w:tcW w:w="3536" w:type="dxa"/>
          </w:tcPr>
          <w:p>
            <w:pPr>
              <w:pStyle w:val="TableText"/>
            </w:pPr>
            <w:r>
              <w:t xml:space="preserve">sedsat.org and its download form</w:t>
            </w:r>
          </w:p>
        </w:tc>
        <w:tc>
          <w:tcPr>
            <w:tcW w:w="970" w:type="dxa"/>
          </w:tcPr>
          <w:p>
            <w:pPr>
              <w:pStyle w:val="TableText"/>
            </w:pPr>
            <w:r>
              <w:rPr>
                <w:b/>
                <w:color w:val="BE1E1E"/>
              </w:rPr>
              <w:t xml:space="preserve">[Cara, Allen]</w:t>
            </w:r>
          </w:p>
        </w:tc>
        <w:tc>
          <w:tcPr>
            <w:tcW w:w="4854" w:type="dxa"/>
          </w:tcPr>
          <w:p>
            <w:pPr>
              <w:pStyle w:val="TableText"/>
            </w:pPr>
            <w:r>
              <w:t xml:space="preserve">Retire it or keep it as a pointer; check the form against USGS guidelines if it stays. Code-signing of the Windows package.</w:t>
            </w:r>
          </w:p>
        </w:tc>
      </w:tr>
      <w:tr>
        <w:trPr>
          <w:cantSplit/>
        </w:trPr>
        <w:tc>
          <w:tcPr>
            <w:tcW w:w="3536" w:type="dxa"/>
          </w:tcPr>
          <w:p>
            <w:pPr>
              <w:pStyle w:val="TableText"/>
            </w:pPr>
            <w:r>
              <w:t xml:space="preserve">USGS colour guidance</w:t>
            </w:r>
          </w:p>
        </w:tc>
        <w:tc>
          <w:tcPr>
            <w:tcW w:w="970" w:type="dxa"/>
          </w:tcPr>
          <w:p>
            <w:pPr>
              <w:pStyle w:val="TableText"/>
            </w:pPr>
            <w:r>
              <w:rPr>
                <w:b/>
                <w:color w:val="BE1E1E"/>
              </w:rPr>
              <w:t xml:space="preserve">[Cara]</w:t>
            </w:r>
          </w:p>
        </w:tc>
        <w:tc>
          <w:tcPr>
            <w:tcW w:w="4854" w:type="dxa"/>
          </w:tcPr>
          <w:p>
            <w:pPr>
              <w:pStyle w:val="TableText"/>
            </w:pPr>
            <w:r>
              <w:t xml:space="preserve">The charts use the Okabe–Ito colour-blind-safe palette.</w:t>
            </w:r>
          </w:p>
        </w:tc>
      </w:tr>
      <w:tr>
        <w:trPr>
          <w:cantSplit/>
        </w:trPr>
        <w:tc>
          <w:tcPr>
            <w:tcW w:w="3536" w:type="dxa"/>
          </w:tcPr>
          <w:p>
            <w:pPr>
              <w:pStyle w:val="TableText"/>
            </w:pPr>
            <w:r>
              <w:t xml:space="preserve">Sed_SAT 1.0 comparison</w:t>
            </w:r>
          </w:p>
        </w:tc>
        <w:tc>
          <w:tcPr>
            <w:tcW w:w="970" w:type="dxa"/>
          </w:tcPr>
          <w:p>
            <w:pPr>
              <w:pStyle w:val="TableText"/>
            </w:pPr>
            <w:r>
              <w:rPr>
                <w:b/>
                <w:color w:val="BE1E1E"/>
              </w:rPr>
              <w:t xml:space="preserve">[Allen, Lilly]</w:t>
            </w:r>
          </w:p>
        </w:tc>
        <w:tc>
          <w:tcPr>
            <w:tcW w:w="4854" w:type="dxa"/>
          </w:tcPr>
          <w:p>
            <w:pPr>
              <w:pStyle w:val="TableText"/>
            </w:pPr>
            <w:r>
              <w:t xml:space="preserve">Last column of Table 1.1 in the manual.</w:t>
            </w:r>
          </w:p>
        </w:tc>
      </w:tr>
      <w:tr>
        <w:trPr>
          <w:cantSplit/>
        </w:trPr>
        <w:tc>
          <w:tcPr>
            <w:tcW w:w="3536" w:type="dxa"/>
          </w:tcPr>
          <w:p>
            <w:pPr>
              <w:pStyle w:val="TableText"/>
            </w:pPr>
            <w:r>
              <w:t xml:space="preserve">Genetic algorithm section</w:t>
            </w:r>
          </w:p>
        </w:tc>
        <w:tc>
          <w:tcPr>
            <w:tcW w:w="970" w:type="dxa"/>
          </w:tcPr>
          <w:p>
            <w:pPr>
              <w:pStyle w:val="TableText"/>
            </w:pPr>
            <w:r>
              <w:rPr>
                <w:b/>
                <w:color w:val="BE1E1E"/>
              </w:rPr>
              <w:t xml:space="preserve">[Allen, Cara]</w:t>
            </w:r>
          </w:p>
        </w:tc>
        <w:tc>
          <w:tcPr>
            <w:tcW w:w="4854" w:type="dxa"/>
          </w:tcPr>
          <w:p>
            <w:pPr>
              <w:pStyle w:val="TableText"/>
            </w:pPr>
            <w:r>
              <w:t xml:space="preserve">Keep (marked as not in this release) or remove.</w:t>
            </w:r>
          </w:p>
        </w:tc>
      </w:tr>
      <w:tr>
        <w:trPr>
          <w:cantSplit/>
        </w:trPr>
        <w:tc>
          <w:tcPr>
            <w:tcW w:w="3536" w:type="dxa"/>
          </w:tcPr>
          <w:p>
            <w:pPr>
              <w:pStyle w:val="TableText"/>
            </w:pPr>
            <w:r>
              <w:t xml:space="preserve">C13 base element and ratio in the example</w:t>
            </w:r>
          </w:p>
        </w:tc>
        <w:tc>
          <w:tcPr>
            <w:tcW w:w="970" w:type="dxa"/>
          </w:tcPr>
          <w:p>
            <w:pPr>
              <w:pStyle w:val="TableText"/>
            </w:pPr>
            <w:r>
              <w:rPr>
                <w:b/>
                <w:color w:val="1446AA"/>
              </w:rPr>
              <w:t xml:space="preserve">[Arash: Arash]</w:t>
            </w:r>
          </w:p>
        </w:tc>
        <w:tc>
          <w:tcPr>
            <w:tcW w:w="4854" w:type="dxa"/>
          </w:tcPr>
          <w:p>
            <w:pPr>
              <w:pStyle w:val="TableText"/>
            </w:pPr>
            <w:r>
              <w:t xml:space="preserve">State them in Section 2.1.</w:t>
            </w:r>
          </w:p>
        </w:tc>
      </w:tr>
      <w:tr>
        <w:trPr>
          <w:cantSplit/>
        </w:trPr>
        <w:tc>
          <w:tcPr>
            <w:tcW w:w="3536" w:type="dxa"/>
          </w:tcPr>
          <w:p>
            <w:pPr>
              <w:pStyle w:val="TableText"/>
            </w:pPr>
            <w:r>
              <w:t xml:space="preserve">Screenshots to retake</w:t>
            </w:r>
          </w:p>
        </w:tc>
        <w:tc>
          <w:tcPr>
            <w:tcW w:w="970" w:type="dxa"/>
          </w:tcPr>
          <w:p>
            <w:pPr>
              <w:pStyle w:val="TableText"/>
            </w:pPr>
            <w:r>
              <w:rPr>
                <w:b/>
                <w:color w:val="1446AA"/>
              </w:rPr>
              <w:t xml:space="preserve">[Arash: Arash]</w:t>
            </w:r>
          </w:p>
        </w:tc>
        <w:tc>
          <w:tcPr>
            <w:tcW w:w="4854" w:type="dxa"/>
          </w:tcPr>
          <w:p>
            <w:pPr>
              <w:pStyle w:val="TableText"/>
            </w:pPr>
            <w:r>
              <w:t xml:space="preserve">Seven figures of the main window, the progress window and files.</w:t>
            </w:r>
          </w:p>
        </w:tc>
      </w:tr>
      <w:tr>
        <w:trPr>
          <w:cantSplit/>
        </w:trPr>
        <w:tc>
          <w:tcPr>
            <w:tcW w:w="3536" w:type="dxa"/>
          </w:tcPr>
          <w:p>
            <w:pPr>
              <w:pStyle w:val="TableText"/>
            </w:pPr>
            <w:r>
              <w:t xml:space="preserve">virtual-mixture.xlsx</w:t>
            </w:r>
          </w:p>
        </w:tc>
        <w:tc>
          <w:tcPr>
            <w:tcW w:w="970" w:type="dxa"/>
          </w:tcPr>
          <w:p>
            <w:pPr>
              <w:pStyle w:val="TableText"/>
            </w:pPr>
            <w:r>
              <w:rPr>
                <w:b/>
                <w:color w:val="1446AA"/>
              </w:rPr>
              <w:t xml:space="preserve">[Arash: Arash]</w:t>
            </w:r>
          </w:p>
        </w:tc>
        <w:tc>
          <w:tcPr>
            <w:tcW w:w="4854" w:type="dxa"/>
          </w:tcPr>
          <w:p>
            <w:pPr>
              <w:pStyle w:val="TableText"/>
            </w:pPr>
            <w:r>
              <w:t xml:space="preserve">Replace it with SampleData.xlsx in the Windows package.</w:t>
            </w:r>
          </w:p>
        </w:tc>
      </w:tr>
      <w:tr>
        <w:trPr>
          <w:cantSplit/>
        </w:trPr>
        <w:tc>
          <w:tcPr>
            <w:tcW w:w="3536" w:type="dxa"/>
          </w:tcPr>
          <w:p>
            <w:pPr>
              <w:pStyle w:val="TableText"/>
            </w:pPr>
            <w:r>
              <w:t xml:space="preserve">Constituent order</w:t>
            </w:r>
          </w:p>
        </w:tc>
        <w:tc>
          <w:tcPr>
            <w:tcW w:w="970" w:type="dxa"/>
          </w:tcPr>
          <w:p>
            <w:pPr>
              <w:pStyle w:val="TableText"/>
            </w:pPr>
            <w:r>
              <w:rPr>
                <w:b/>
                <w:color w:val="1446AA"/>
              </w:rPr>
              <w:t xml:space="preserve">[Arash: Arash]</w:t>
            </w:r>
          </w:p>
        </w:tc>
        <w:tc>
          <w:tcPr>
            <w:tcW w:w="4854" w:type="dxa"/>
          </w:tcPr>
          <w:p>
            <w:pPr>
              <w:pStyle w:val="TableText"/>
            </w:pPr>
            <w:r>
              <w:t xml:space="preserve">Keep the Excel column order; planned separately.</w:t>
            </w:r>
          </w:p>
        </w:tc>
      </w:tr>
      <w:tr>
        <w:trPr>
          <w:cantSplit/>
        </w:trPr>
        <w:tc>
          <w:tcPr>
            <w:tcW w:w="3536" w:type="dxa"/>
          </w:tcPr>
          <w:p>
            <w:pPr>
              <w:pStyle w:val="TableText"/>
            </w:pPr>
            <w:r>
              <w:t xml:space="preserve">Notes column; confusion matrix; target sheet dialog</w:t>
            </w:r>
          </w:p>
        </w:tc>
        <w:tc>
          <w:tcPr>
            <w:tcW w:w="970" w:type="dxa"/>
          </w:tcPr>
          <w:p>
            <w:pPr>
              <w:pStyle w:val="TableText"/>
            </w:pPr>
            <w:r>
              <w:rPr>
                <w:b/>
                <w:color w:val="1446AA"/>
              </w:rPr>
              <w:t xml:space="preserve">[Arash: Arash]</w:t>
            </w:r>
          </w:p>
        </w:tc>
        <w:tc>
          <w:tcPr>
            <w:tcW w:w="4854" w:type="dxa"/>
          </w:tcPr>
          <w:p>
            <w:pPr>
              <w:pStyle w:val="TableText"/>
            </w:pPr>
            <w:r>
              <w:t xml:space="preserve">Enhancements suggested in the review.</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2026-10-22T17:58:40Z</dcterms:created>
</cp:coreProperties>
</file>