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23,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colour-blind-safe palette with the same colour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w:t>
      </w:r>
      <w:r>
        <w:rPr>
          <w:b/>
          <w:color w:val="1446AA"/>
        </w:rPr>
        <w:t xml:space="preserve">[Arash: remove </w:t>
      </w:r>
      <w:r>
        <w:rPr>
          <w:b/>
          <w:rFonts w:ascii="Consolas" w:hAnsi="Consolas" w:cs="Consolas"/>
          <w:sz w:val="19"/>
          <w:color w:val="1446AA"/>
        </w:rPr>
        <w:t xml:space="preserve">virtual-mixture.xlsx</w:t>
      </w:r>
      <w:r>
        <w:rPr>
          <w:b/>
          <w:color w:val="1446AA"/>
        </w:rPr>
        <w:t xml:space="preserve"> from the Windows package and include </w:t>
      </w:r>
      <w:r>
        <w:rPr>
          <w:b/>
          <w:rFonts w:ascii="Consolas" w:hAnsi="Consolas" w:cs="Consolas"/>
          <w:sz w:val="19"/>
          <w:color w:val="1446AA"/>
        </w:rPr>
        <w:t xml:space="preserve">examples/SampleData.xlsx</w:t>
      </w:r>
      <w:r>
        <w:rPr>
          <w:b/>
          <w:color w:val="1446AA"/>
        </w:rPr>
        <w:t xml:space="preserve"> instead.]</w:t>
      </w:r>
    </w:p>
    <w:p>
      <w:pPr/>
      <w:r>
        <w:rPr>
          <w:i/>
        </w:rPr>
        <w:t xml:space="preserve">Status: </w:t>
      </w:r>
      <w:r>
        <w:t xml:space="preserve">Manual done; package to update.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For each method it gives SedSAT3’s approach, where the manual describes it, and how it compares with Sed_SAT 1.0: the same, changed, new, or not in SedSAT3. I wrote the comparison from the Sed_SAT 1.0 source code (the software release, doi:10.5066/F76Q1VBX) and its report. Please check it, since you know Sed_SAT 1.0 best.</w:t>
      </w:r>
    </w:p>
    <w:p>
      <w:pPr/>
      <w:r>
        <w:t xml:space="preserve">The comparison prompted two changes. SedSAT3 no longer corrects stable isotopes for organic matter and size by default, as in Sed_SAT 1.0, which avoided biasing them (the user can still choose to correct them). Step 4 has a confusion matrix (Comment 7.12). Sed_SAT 1.0 also did three things that SedSAT3 does not:</w:t>
      </w:r>
    </w:p>
    <w:p>
      <w:pPr>
        <w:pStyle w:val="ListBullet"/>
        <w:numPr>
          <w:ilvl w:val="0"/>
          <w:numId w:val="1"/>
        </w:numPr>
      </w:pPr>
      <w:r>
        <w:t xml:space="preserve">imputing values below detection;</w:t>
      </w:r>
    </w:p>
    <w:p>
      <w:pPr>
        <w:pStyle w:val="ListBullet"/>
        <w:numPr>
          <w:ilvl w:val="0"/>
          <w:numId w:val="1"/>
        </w:numPr>
      </w:pPr>
      <w:r>
        <w:t xml:space="preserve">a tolerance in the bracket test;</w:t>
      </w:r>
    </w:p>
    <w:p>
      <w:pPr>
        <w:pStyle w:val="ListBullet"/>
        <w:numPr>
          <w:ilvl w:val="0"/>
          <w:numId w:val="1"/>
        </w:numPr>
      </w:pPr>
      <w:r>
        <w:t xml:space="preserve">using tracer weighting factors from the DFA in the mixing model.</w:t>
      </w:r>
    </w:p>
    <w:p>
      <w:pPr/>
      <w:r>
        <w:t xml:space="preserve">I would welcome your view on which of these SedSAT3 should have.</w:t>
      </w:r>
    </w:p>
    <w:p>
      <w:pPr/>
      <w:r>
        <w:rPr>
          <w:i/>
        </w:rPr>
        <w:t xml:space="preserve">Status: </w:t>
      </w:r>
      <w:r>
        <w:t xml:space="preserve">Done; for your review.</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A few screenshots of the main window and of files still show the earlier version. </w:t>
      </w:r>
      <w:r>
        <w:rPr>
          <w:b/>
          <w:color w:val="1446AA"/>
        </w:rPr>
        <w:t xml:space="preserve">[Arash: retake </w:t>
      </w:r>
      <w:r>
        <w:rPr>
          <w:b/>
          <w:rFonts w:ascii="Consolas" w:hAnsi="Consolas" w:cs="Consolas"/>
          <w:sz w:val="19"/>
          <w:color w:val="1446AA"/>
        </w:rPr>
        <w:t xml:space="preserve">SelectSourceTargetGroups.png</w:t>
      </w:r>
      <w:r>
        <w:rPr>
          <w:b/>
          <w:color w:val="1446AA"/>
        </w:rPr>
        <w:t xml:space="preserve">, </w:t>
      </w:r>
      <w:r>
        <w:rPr>
          <w:b/>
          <w:rFonts w:ascii="Consolas" w:hAnsi="Consolas" w:cs="Consolas"/>
          <w:sz w:val="19"/>
          <w:color w:val="1446AA"/>
        </w:rPr>
        <w:t xml:space="preserve">Constituent_Viz.png</w:t>
      </w:r>
      <w:r>
        <w:rPr>
          <w:b/>
          <w:color w:val="1446AA"/>
        </w:rPr>
        <w:t xml:space="preserve">, </w:t>
      </w:r>
      <w:r>
        <w:rPr>
          <w:b/>
          <w:rFonts w:ascii="Consolas" w:hAnsi="Consolas" w:cs="Consolas"/>
          <w:sz w:val="19"/>
          <w:color w:val="1446AA"/>
        </w:rPr>
        <w:t xml:space="preserve">MCMC_progress.png</w:t>
      </w:r>
      <w:r>
        <w:rPr>
          <w:b/>
          <w:color w:val="1446AA"/>
        </w:rPr>
        <w:t xml:space="preserve">, </w:t>
      </w:r>
      <w:r>
        <w:rPr>
          <w:b/>
          <w:rFonts w:ascii="Consolas" w:hAnsi="Consolas" w:cs="Consolas"/>
          <w:sz w:val="19"/>
          <w:color w:val="1446AA"/>
        </w:rPr>
        <w:t xml:space="preserve">MCMC_folders.png</w:t>
      </w:r>
      <w:r>
        <w:rPr>
          <w:b/>
          <w:color w:val="1446AA"/>
        </w:rPr>
        <w:t xml:space="preserve">, </w:t>
      </w:r>
      <w:r>
        <w:rPr>
          <w:b/>
          <w:rFonts w:ascii="Consolas" w:hAnsi="Consolas" w:cs="Consolas"/>
          <w:sz w:val="19"/>
          <w:color w:val="1446AA"/>
        </w:rPr>
        <w:t xml:space="preserve">MCMC_files.png</w:t>
      </w:r>
      <w:r>
        <w:rPr>
          <w:b/>
          <w:color w:val="1446AA"/>
        </w:rPr>
        <w:t xml:space="preserve">, </w:t>
      </w:r>
      <w:r>
        <w:rPr>
          <w:b/>
          <w:rFonts w:ascii="Consolas" w:hAnsi="Consolas" w:cs="Consolas"/>
          <w:sz w:val="19"/>
          <w:color w:val="1446AA"/>
        </w:rPr>
        <w:t xml:space="preserve">95p_CI_table.png</w:t>
      </w:r>
      <w:r>
        <w:rPr>
          <w:b/>
          <w:color w:val="1446AA"/>
        </w:rPr>
        <w:t xml:space="preserve"> and </w:t>
      </w:r>
      <w:r>
        <w:rPr>
          <w:b/>
          <w:rFonts w:ascii="Consolas" w:hAnsi="Consolas" w:cs="Consolas"/>
          <w:sz w:val="19"/>
          <w:color w:val="1446AA"/>
        </w:rPr>
        <w:t xml:space="preserve">95p_CI_predicted.png</w:t>
      </w:r>
      <w:r>
        <w:rPr>
          <w:b/>
          <w:color w:val="1446AA"/>
        </w:rPr>
        <w:t xml:space="preserve"> with the current program.]</w:t>
      </w:r>
    </w:p>
    <w:p>
      <w:pPr/>
      <w:r>
        <w:rPr>
          <w:i/>
        </w:rPr>
        <w:t xml:space="preserve">Status: </w:t>
      </w:r>
      <w:r>
        <w:t xml:space="preserve">Done, except the screenshots listed.</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t>
      </w:r>
      <w:r>
        <w:rPr>
          <w:b/>
          <w:color w:val="BE1E1E"/>
        </w:rPr>
        <w:t xml:space="preserve">[Cara: confirm the version number and set the publication date.]</w:t>
      </w:r>
      <w:r>
        <w:t xml:space="preserve"> I was not sure what “missing” at the table of contents referred to: the list of figures, or a table of contents absent from the Word copy (the PDF has one). Please tell me if it is something else.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centre. I agree that it is faint. </w:t>
      </w:r>
      <w:r>
        <w:rPr>
          <w:b/>
          <w:color w:val="1446AA"/>
        </w:rPr>
        <w:t xml:space="preserve">[Arash: show the chosen target sheet in bold in that dialog.]</w:t>
      </w:r>
    </w:p>
    <w:p>
      <w:pPr/>
      <w:r>
        <w:rPr>
          <w:i/>
        </w:rPr>
        <w:t xml:space="preserve">Status: </w:t>
      </w:r>
      <w:r>
        <w:t xml:space="preserve">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Agreed. The program stores the constituents in a structure sorted by name, so the alphabetical order appears in every table and result. Keeping the file’s order touches the project file format and every result. I would rather make that change separately, with its own tests, than in this review. The manual now states that constituents are listed alphabetically. </w:t>
      </w:r>
      <w:r>
        <w:rPr>
          <w:b/>
          <w:color w:val="1446AA"/>
        </w:rPr>
        <w:t xml:space="preserve">[Arash: keep the Excel column order (project format and results); planned separately.]</w:t>
      </w:r>
    </w:p>
    <w:p>
      <w:pPr/>
      <w:r>
        <w:rPr>
          <w:i/>
        </w:rPr>
        <w:t xml:space="preserve">Status: </w:t>
      </w:r>
      <w:r>
        <w:t xml:space="preserve">Documented; change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Both are now given in Section 2.1: N for N15 (ratio 0.003676) and TOC for C13 (ratio 0.011180, VPDB). TOC is the only carbon content measured, but it is also the organic matter constituent, and the program did not accept that as a base element. It now does. TOC is not used as a tracer. Fingerprinting uses it only to weight each source’s δ¹³C by its organic carbon content, with or without the size and organic matter correction (</w:t>
      </w:r>
      <w:r>
        <w:rPr>
          <w:rFonts w:ascii="Consolas" w:hAnsi="Consolas" w:cs="Consolas"/>
          <w:sz w:val="19"/>
        </w:rPr>
        <w:t xml:space="preserve">67cc62f</w:t>
      </w:r>
      <w:r>
        <w:t xml:space="preserve">). The test project had used Calcium, which was not chemically meaningful. The standard ratio cancels in the mixture’s δ value, so its exact value does not change the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A notes column is a good idea. Meanwhile, the manual suggests exporting the bracket table as the record. </w:t>
      </w:r>
      <w:r>
        <w:rPr>
          <w:b/>
          <w:color w:val="1446AA"/>
        </w:rPr>
        <w:t xml:space="preserve">[Arash: add a notes column to the constituent properties table.]</w:t>
      </w:r>
    </w:p>
    <w:p>
      <w:pPr/>
      <w:r>
        <w:rPr>
          <w:i/>
        </w:rPr>
        <w:t xml:space="preserve">Status: </w:t>
      </w:r>
      <w:r>
        <w:t xml:space="preserve">Documented; notes column 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colours were random, chosen again for each plot. All charts now use the Okabe–Ito colour-blind-safe palette, and in the DFA plot each group keeps its colour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colour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and step 4 now has one: a seventh panel with the leave-one-out confusion matrix of the source samples for the selected constituents. It uses linear discriminant classification with equal priors, as in Sed_SAT 1.0. Each row is a true source group, each column the group assigned, and the last column the percentage classified correctly. I checked it against an independent calculation. In the example, most misclassifications are between Crop and Pasture. The manual describes it and how to read it (Section 3.5).</w:t>
      </w:r>
    </w:p>
    <w:p>
      <w:pPr/>
      <w:r>
        <w:t xml:space="preserve">Source Verification answers the same question with the fingerprinting itself, and the manual now relates the two.</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In the example, the chains no longer look random: they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pStyle w:val="ListBullet"/>
        <w:numPr>
          <w:ilvl w:val="0"/>
          <w:numId w:val="1"/>
        </w:numPr>
      </w:pPr>
      <w:r>
        <w:t xml:space="preserve">The results now include two convergence diagnostics for every parameter: split \hat{R} and the effective sample size (Vehtari and others, 2021), shown in red when beyond the recommended values (1.01 and 400). They are also written as files by the batch.</w:t>
      </w:r>
    </w:p>
    <w:p>
      <w:pPr/>
      <w:r>
        <w:t xml:space="preserve">These diagnostics showed that your observation went further than the defaults. With independent steps for each parameter, the sampler mixed so slowly that, for the example, the contributions had \hat{R} up to 1.11 and 50 to 140 effective samples, and a run four times longer did not improve them.</w:t>
      </w:r>
    </w:p>
    <w:p>
      <w:pPr/>
      <w:r>
        <w:t xml:space="preserve">The sampler now uses a correlated proposal by default (adaptive Metropolis, ported from OpenHydroQual). It learns the correlations between the parameters from the samples after the burn-in and steps along them. For the example it gives several times the effective sample size. With 400,000 samples and </w:t>
      </w:r>
      <w:r>
        <w:rPr>
          <w:i/>
        </w:rPr>
        <w:t xml:space="preserve">Dissolve Chains</w:t>
      </w:r>
      <w:r>
        <w:t xml:space="preserve"> unchecked, every parameter meets both criteria (\hat{R} \le 1.017, at least 428 effective samples). The manual gives the comparison (Section 4.1.1, Table 4.1) and the advice for final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analysed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colours, and each pair keeps its colour.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colours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358"/>
        <w:gridCol w:w="1000"/>
        <w:gridCol w:w="5002"/>
      </w:tblGrid>
      <w:tr>
        <w:trPr>
          <w:tblHeader/>
        </w:trPr>
        <w:tc>
          <w:tcPr>
            <w:tcW w:w="3358" w:type="dxa"/>
            <w:shd w:val="clear" w:color="auto" w:fill="E6EFEA"/>
          </w:tcPr>
          <w:p>
            <w:pPr>
              <w:pStyle w:val="TableText"/>
            </w:pPr>
            <w:r>
              <w:rPr>
                <w:b/>
              </w:rPr>
              <w:t xml:space="preserve">Item</w:t>
            </w:r>
          </w:p>
        </w:tc>
        <w:tc>
          <w:tcPr>
            <w:tcW w:w="1000" w:type="dxa"/>
            <w:shd w:val="clear" w:color="auto" w:fill="E6EFEA"/>
          </w:tcPr>
          <w:p>
            <w:pPr>
              <w:pStyle w:val="TableText"/>
            </w:pPr>
            <w:r>
              <w:rPr>
                <w:b/>
              </w:rPr>
              <w:t xml:space="preserve">Who</w:t>
            </w:r>
          </w:p>
        </w:tc>
        <w:tc>
          <w:tcPr>
            <w:tcW w:w="5002" w:type="dxa"/>
            <w:shd w:val="clear" w:color="auto" w:fill="E6EFEA"/>
          </w:tcPr>
          <w:p>
            <w:pPr>
              <w:pStyle w:val="TableText"/>
            </w:pPr>
            <w:r>
              <w:rPr>
                <w:b/>
              </w:rPr>
              <w:t xml:space="preserve">Note</w:t>
            </w:r>
          </w:p>
        </w:tc>
      </w:tr>
      <w:tr>
        <w:trPr>
          <w:cantSplit/>
        </w:trPr>
        <w:tc>
          <w:tcPr>
            <w:tcW w:w="3358" w:type="dxa"/>
          </w:tcPr>
          <w:p>
            <w:pPr>
              <w:pStyle w:val="TableText"/>
            </w:pPr>
            <w:r>
              <w:t xml:space="preserve">Repository path, DOI, version, publication date</w:t>
            </w:r>
          </w:p>
        </w:tc>
        <w:tc>
          <w:tcPr>
            <w:tcW w:w="1000" w:type="dxa"/>
          </w:tcPr>
          <w:p>
            <w:pPr>
              <w:pStyle w:val="TableText"/>
            </w:pPr>
            <w:r>
              <w:rPr>
                <w:b/>
                <w:color w:val="BE1E1E"/>
              </w:rPr>
              <w:t xml:space="preserve">[Cara]</w:t>
            </w:r>
          </w:p>
        </w:tc>
        <w:tc>
          <w:tcPr>
            <w:tcW w:w="5002" w:type="dxa"/>
          </w:tcPr>
          <w:p>
            <w:pPr>
              <w:pStyle w:val="TableText"/>
            </w:pPr>
            <w:r>
              <w:t xml:space="preserve">README, citation and manual title page hold placeholders.</w:t>
            </w:r>
          </w:p>
        </w:tc>
      </w:tr>
      <w:tr>
        <w:trPr>
          <w:cantSplit/>
        </w:trPr>
        <w:tc>
          <w:tcPr>
            <w:tcW w:w="3358" w:type="dxa"/>
          </w:tcPr>
          <w:p>
            <w:pPr>
              <w:pStyle w:val="TableText"/>
            </w:pPr>
            <w:r>
              <w:t xml:space="preserve">sedsat.org and its download form</w:t>
            </w:r>
          </w:p>
        </w:tc>
        <w:tc>
          <w:tcPr>
            <w:tcW w:w="1000" w:type="dxa"/>
          </w:tcPr>
          <w:p>
            <w:pPr>
              <w:pStyle w:val="TableText"/>
            </w:pPr>
            <w:r>
              <w:rPr>
                <w:b/>
                <w:color w:val="BE1E1E"/>
              </w:rPr>
              <w:t xml:space="preserve">[Cara, Allen]</w:t>
            </w:r>
          </w:p>
        </w:tc>
        <w:tc>
          <w:tcPr>
            <w:tcW w:w="5002" w:type="dxa"/>
          </w:tcPr>
          <w:p>
            <w:pPr>
              <w:pStyle w:val="TableText"/>
            </w:pPr>
            <w:r>
              <w:t xml:space="preserve">Retire it or keep it as a pointer; check the form against USGS guidelines if it stays. Code-signing of the Windows package.</w:t>
            </w:r>
          </w:p>
        </w:tc>
      </w:tr>
      <w:tr>
        <w:trPr>
          <w:cantSplit/>
        </w:trPr>
        <w:tc>
          <w:tcPr>
            <w:tcW w:w="3358" w:type="dxa"/>
          </w:tcPr>
          <w:p>
            <w:pPr>
              <w:pStyle w:val="TableText"/>
            </w:pPr>
            <w:r>
              <w:t xml:space="preserve">USGS colour guidance</w:t>
            </w:r>
          </w:p>
        </w:tc>
        <w:tc>
          <w:tcPr>
            <w:tcW w:w="1000" w:type="dxa"/>
          </w:tcPr>
          <w:p>
            <w:pPr>
              <w:pStyle w:val="TableText"/>
            </w:pPr>
            <w:r>
              <w:rPr>
                <w:b/>
                <w:color w:val="BE1E1E"/>
              </w:rPr>
              <w:t xml:space="preserve">[Cara]</w:t>
            </w:r>
          </w:p>
        </w:tc>
        <w:tc>
          <w:tcPr>
            <w:tcW w:w="5002" w:type="dxa"/>
          </w:tcPr>
          <w:p>
            <w:pPr>
              <w:pStyle w:val="TableText"/>
            </w:pPr>
            <w:r>
              <w:t xml:space="preserve">The charts use the Okabe–Ito colour-blind-safe palette.</w:t>
            </w:r>
          </w:p>
        </w:tc>
      </w:tr>
      <w:tr>
        <w:trPr>
          <w:cantSplit/>
        </w:trPr>
        <w:tc>
          <w:tcPr>
            <w:tcW w:w="3358" w:type="dxa"/>
          </w:tcPr>
          <w:p>
            <w:pPr>
              <w:pStyle w:val="TableText"/>
            </w:pPr>
            <w:r>
              <w:t xml:space="preserve">Sed_SAT 1.0 comparison</w:t>
            </w:r>
          </w:p>
        </w:tc>
        <w:tc>
          <w:tcPr>
            <w:tcW w:w="1000" w:type="dxa"/>
          </w:tcPr>
          <w:p>
            <w:pPr>
              <w:pStyle w:val="TableText"/>
            </w:pPr>
            <w:r>
              <w:rPr>
                <w:b/>
                <w:color w:val="BE1E1E"/>
              </w:rPr>
              <w:t xml:space="preserve">[Allen, Lilly]</w:t>
            </w:r>
          </w:p>
        </w:tc>
        <w:tc>
          <w:tcPr>
            <w:tcW w:w="5002" w:type="dxa"/>
          </w:tcPr>
          <w:p>
            <w:pPr>
              <w:pStyle w:val="TableText"/>
            </w:pPr>
            <w:r>
              <w:t xml:space="preserve">Review the last column of Table 1.1, and say which Sed_SAT 1.0 features SedSAT3 should have.</w:t>
            </w:r>
          </w:p>
        </w:tc>
      </w:tr>
      <w:tr>
        <w:trPr>
          <w:cantSplit/>
        </w:trPr>
        <w:tc>
          <w:tcPr>
            <w:tcW w:w="3358" w:type="dxa"/>
          </w:tcPr>
          <w:p>
            <w:pPr>
              <w:pStyle w:val="TableText"/>
            </w:pPr>
            <w:r>
              <w:t xml:space="preserve">Genetic algorithm section</w:t>
            </w:r>
          </w:p>
        </w:tc>
        <w:tc>
          <w:tcPr>
            <w:tcW w:w="1000" w:type="dxa"/>
          </w:tcPr>
          <w:p>
            <w:pPr>
              <w:pStyle w:val="TableText"/>
            </w:pPr>
            <w:r>
              <w:rPr>
                <w:b/>
                <w:color w:val="BE1E1E"/>
              </w:rPr>
              <w:t xml:space="preserve">[Allen, Cara]</w:t>
            </w:r>
          </w:p>
        </w:tc>
        <w:tc>
          <w:tcPr>
            <w:tcW w:w="5002" w:type="dxa"/>
          </w:tcPr>
          <w:p>
            <w:pPr>
              <w:pStyle w:val="TableText"/>
            </w:pPr>
            <w:r>
              <w:t xml:space="preserve">Keep (marked as not in this release) or remove.</w:t>
            </w:r>
          </w:p>
        </w:tc>
      </w:tr>
      <w:tr>
        <w:trPr>
          <w:cantSplit/>
        </w:trPr>
        <w:tc>
          <w:tcPr>
            <w:tcW w:w="3358" w:type="dxa"/>
          </w:tcPr>
          <w:p>
            <w:pPr>
              <w:pStyle w:val="TableText"/>
            </w:pPr>
            <w:r>
              <w:t xml:space="preserve">Screenshots to retake</w:t>
            </w:r>
          </w:p>
        </w:tc>
        <w:tc>
          <w:tcPr>
            <w:tcW w:w="1000" w:type="dxa"/>
          </w:tcPr>
          <w:p>
            <w:pPr>
              <w:pStyle w:val="TableText"/>
            </w:pPr>
            <w:r>
              <w:rPr>
                <w:b/>
                <w:color w:val="1446AA"/>
              </w:rPr>
              <w:t xml:space="preserve">[Arash: Arash]</w:t>
            </w:r>
          </w:p>
        </w:tc>
        <w:tc>
          <w:tcPr>
            <w:tcW w:w="5002" w:type="dxa"/>
          </w:tcPr>
          <w:p>
            <w:pPr>
              <w:pStyle w:val="TableText"/>
            </w:pPr>
            <w:r>
              <w:t xml:space="preserve">Seven figures of the main window, the progress window and files.</w:t>
            </w:r>
          </w:p>
        </w:tc>
      </w:tr>
      <w:tr>
        <w:trPr>
          <w:cantSplit/>
        </w:trPr>
        <w:tc>
          <w:tcPr>
            <w:tcW w:w="3358" w:type="dxa"/>
          </w:tcPr>
          <w:p>
            <w:pPr>
              <w:pStyle w:val="TableText"/>
            </w:pPr>
            <w:r>
              <w:t xml:space="preserve">virtual-mixture.xlsx</w:t>
            </w:r>
          </w:p>
        </w:tc>
        <w:tc>
          <w:tcPr>
            <w:tcW w:w="1000" w:type="dxa"/>
          </w:tcPr>
          <w:p>
            <w:pPr>
              <w:pStyle w:val="TableText"/>
            </w:pPr>
            <w:r>
              <w:rPr>
                <w:b/>
                <w:color w:val="1446AA"/>
              </w:rPr>
              <w:t xml:space="preserve">[Arash: Arash]</w:t>
            </w:r>
          </w:p>
        </w:tc>
        <w:tc>
          <w:tcPr>
            <w:tcW w:w="5002" w:type="dxa"/>
          </w:tcPr>
          <w:p>
            <w:pPr>
              <w:pStyle w:val="TableText"/>
            </w:pPr>
            <w:r>
              <w:t xml:space="preserve">Replace it with SampleData.xlsx in the Windows package.</w:t>
            </w:r>
          </w:p>
        </w:tc>
      </w:tr>
      <w:tr>
        <w:trPr>
          <w:cantSplit/>
        </w:trPr>
        <w:tc>
          <w:tcPr>
            <w:tcW w:w="3358" w:type="dxa"/>
          </w:tcPr>
          <w:p>
            <w:pPr>
              <w:pStyle w:val="TableText"/>
            </w:pPr>
            <w:r>
              <w:t xml:space="preserve">Constituent order</w:t>
            </w:r>
          </w:p>
        </w:tc>
        <w:tc>
          <w:tcPr>
            <w:tcW w:w="1000" w:type="dxa"/>
          </w:tcPr>
          <w:p>
            <w:pPr>
              <w:pStyle w:val="TableText"/>
            </w:pPr>
            <w:r>
              <w:rPr>
                <w:b/>
                <w:color w:val="1446AA"/>
              </w:rPr>
              <w:t xml:space="preserve">[Arash: Arash]</w:t>
            </w:r>
          </w:p>
        </w:tc>
        <w:tc>
          <w:tcPr>
            <w:tcW w:w="5002" w:type="dxa"/>
          </w:tcPr>
          <w:p>
            <w:pPr>
              <w:pStyle w:val="TableText"/>
            </w:pPr>
            <w:r>
              <w:t xml:space="preserve">Keep the Excel column order; planned separately.</w:t>
            </w:r>
          </w:p>
        </w:tc>
      </w:tr>
      <w:tr>
        <w:trPr>
          <w:cantSplit/>
        </w:trPr>
        <w:tc>
          <w:tcPr>
            <w:tcW w:w="3358" w:type="dxa"/>
          </w:tcPr>
          <w:p>
            <w:pPr>
              <w:pStyle w:val="TableText"/>
            </w:pPr>
            <w:r>
              <w:t xml:space="preserve">Notes column; target sheet dialog</w:t>
            </w:r>
          </w:p>
        </w:tc>
        <w:tc>
          <w:tcPr>
            <w:tcW w:w="1000" w:type="dxa"/>
          </w:tcPr>
          <w:p>
            <w:pPr>
              <w:pStyle w:val="TableText"/>
            </w:pPr>
            <w:r>
              <w:rPr>
                <w:b/>
                <w:color w:val="1446AA"/>
              </w:rPr>
              <w:t xml:space="preserve">[Arash: Arash]</w:t>
            </w:r>
          </w:p>
        </w:tc>
        <w:tc>
          <w:tcPr>
            <w:tcW w:w="5002" w:type="dxa"/>
          </w:tcPr>
          <w:p>
            <w:pPr>
              <w:pStyle w:val="TableText"/>
            </w:pPr>
            <w:r>
              <w:t xml:space="preserve">Enhancements suggested in the review.</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2026-10-23T17:20:28Z</dcterms:created>
</cp:coreProperties>
</file>