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BoxText"/>
        <w:pBdr>
          <w:top w:val="single" w:sz="4" w:space="4" w:color="C86464"/>
          <w:left w:val="single" w:sz="4" w:space="4" w:color="C86464"/>
          <w:bottom w:val="single" w:sz="4" w:space="4" w:color="C86464"/>
          <w:right w:val="single" w:sz="4" w:space="4" w:color="C86464"/>
        </w:pBdr>
        <w:shd w:val="clear" w:color="auto" w:fill="FBEDED"/>
      </w:pPr>
      <w:r>
        <w:rPr>
          <w:b/>
        </w:rPr>
        <w:t xml:space="preserve">Draft.</w:t>
      </w:r>
      <w:r>
        <w:t xml:space="preserve"> Items in </w:t>
      </w:r>
      <w:r>
        <w:rPr>
          <w:b/>
          <w:color w:val="BE1E1E"/>
        </w:rPr>
        <w:t xml:space="preserve">red</w:t>
      </w:r>
      <w:r>
        <w:t xml:space="preserve"> need a decision from Cara Peterman-Phipps or Allen Gellis; items in </w:t>
      </w:r>
      <w:r>
        <w:rPr>
          <w:b/>
          <w:color w:val="1446AA"/>
        </w:rPr>
        <w:t xml:space="preserve">blue</w:t>
      </w:r>
      <w:r>
        <w:t xml:space="preserve"> are tasks for Arash. All marked items and this note will be removed before the response is final.</w:t>
      </w:r>
    </w:p>
    <w:p>
      <w:pPr>
        <w:pStyle w:val="Line"/>
      </w:pPr>
      <w:r>
        <w:t xml:space="preserve">Arash Massoudieh</w:t>
      </w:r>
    </w:p>
    <w:p>
      <w:pPr>
        <w:pStyle w:val="Line"/>
      </w:pPr>
      <w:r>
        <w:t xml:space="preserve">Department of Civil and Environmental Engineering</w:t>
      </w:r>
    </w:p>
    <w:p>
      <w:pPr>
        <w:pStyle w:val="Line"/>
      </w:pPr>
      <w:r>
        <w:t xml:space="preserve">The Catholic University of America</w:t>
      </w:r>
    </w:p>
    <w:p>
      <w:pPr>
        <w:pStyle w:val="Line"/>
      </w:pPr>
      <w:r>
        <w:t xml:space="preserve">massoudieh@cua.edu</w:t>
      </w:r>
    </w:p>
    <w:p>
      <w:pPr>
        <w:pStyle w:val="Line"/>
      </w:pPr>
    </w:p>
    <w:p>
      <w:pPr>
        <w:pStyle w:val="Line"/>
      </w:pPr>
      <w:r>
        <w:t xml:space="preserve">October 24, 2026</w:t>
      </w:r>
    </w:p>
    <w:p>
      <w:pPr>
        <w:pStyle w:val="Line"/>
      </w:pPr>
    </w:p>
    <w:p>
      <w:pPr>
        <w:pStyle w:val="Line"/>
      </w:pPr>
      <w:r>
        <w:t xml:space="preserve">Lillian Gorman Sanisaca</w:t>
      </w:r>
    </w:p>
    <w:p>
      <w:pPr>
        <w:pStyle w:val="Line"/>
      </w:pPr>
      <w:r>
        <w:t xml:space="preserve">U.S. Geological Survey</w:t>
      </w:r>
    </w:p>
    <w:p>
      <w:pPr>
        <w:pStyle w:val="Line"/>
      </w:pPr>
    </w:p>
    <w:p>
      <w:pPr/>
      <w:r>
        <w:rPr>
          <w:b/>
        </w:rPr>
        <w:t xml:space="preserve">Re: Domain review of SedSAT3 (Sediment Source Assessment Tool, version 3)</w:t>
      </w:r>
    </w:p>
    <w:p>
      <w:pPr/>
      <w:r>
        <w:t xml:space="preserve">Dear Lilly,</w:t>
      </w:r>
    </w:p>
    <w:p>
      <w:pPr/>
      <w:r>
        <w:t xml:space="preserve">Thank you for your careful domain review of SedSAT3: the review notes and the 125 comments in the user’s manual. You tested every tool, built test cases for the bracket test, the column layout and the column names, and recorded each crash with the settings that caused it. That made every problem reproducible. This letter answers each of your notes and comments in turn.</w:t>
      </w:r>
    </w:p>
    <w:p>
      <w:pPr/>
      <w:r>
        <w:rPr>
          <w:b/>
        </w:rPr>
        <w:t xml:space="preserve">The version you tested.</w:t>
      </w:r>
      <w:r>
        <w:t xml:space="preserve"> Your copy was the Windows package of release 1.1.6, built in December 2025. Since then, the code review by Steve Westenbroek (October 2026) led to a large set of fixes on the branch </w:t>
      </w:r>
      <w:r>
        <w:rPr>
          <w:rFonts w:ascii="Consolas" w:hAnsi="Consolas" w:cs="Consolas"/>
          <w:sz w:val="19"/>
        </w:rPr>
        <w:t xml:space="preserve">review-fixes-oct2026</w:t>
      </w:r>
      <w:r>
        <w:t xml:space="preserve"> (merge request !4 on code.usgs.gov). Several of the problems you found were already fixed there: copies of results that lost their red highlighting and axis titles, progress windows that stayed open, a chart crash on negative values, and distribution fitting. I reproduced every one of your crashes against the current code with the example data, and fixed those that remained. The changes made for your review are in four commits on the same branch: </w:t>
      </w:r>
      <w:r>
        <w:rPr>
          <w:rFonts w:ascii="Consolas" w:hAnsi="Consolas" w:cs="Consolas"/>
          <w:sz w:val="19"/>
        </w:rPr>
        <w:t xml:space="preserve">d7d8b92</w:t>
      </w:r>
      <w:r>
        <w:t xml:space="preserve">, </w:t>
      </w:r>
      <w:r>
        <w:rPr>
          <w:rFonts w:ascii="Consolas" w:hAnsi="Consolas" w:cs="Consolas"/>
          <w:sz w:val="19"/>
        </w:rPr>
        <w:t xml:space="preserve">8708c20</w:t>
      </w:r>
      <w:r>
        <w:t xml:space="preserve">, </w:t>
      </w:r>
      <w:r>
        <w:rPr>
          <w:rFonts w:ascii="Consolas" w:hAnsi="Consolas" w:cs="Consolas"/>
          <w:sz w:val="19"/>
        </w:rPr>
        <w:t xml:space="preserve">ae2e4d5</w:t>
      </w:r>
      <w:r>
        <w:t xml:space="preserve"> and the manual commits.</w:t>
      </w:r>
    </w:p>
    <w:p>
      <w:pPr/>
      <w:r>
        <w:rPr>
          <w:b/>
        </w:rPr>
        <w:t xml:space="preserve">The version to test now.</w:t>
      </w:r>
      <w:r>
        <w:t xml:space="preserve"> The portable Windows package of version 1.1.8, built from this branch with every fix in this letter, can be downloaded from code.usgs.gov (sign in first):</w:t>
      </w:r>
      <w:r>
        <w:br/>
      </w:r>
      <w:r>
        <w:t xml:space="preserve"> </w:t>
      </w:r>
      <w:r>
        <w:t xml:space="preserve">https://code.usgs.gov/-/project/20102/uploads/a9642eb7c4f46c966d73c3225341d418/SedSAT3-1.1.8-windows-x64-portable.zip</w:t>
      </w:r>
      <w:r>
        <w:br/>
      </w:r>
      <w:r>
        <w:t xml:space="preserve"> SHA-256: </w:t>
      </w:r>
      <w:r>
        <w:rPr>
          <w:rFonts w:ascii="Consolas" w:hAnsi="Consolas" w:cs="Consolas"/>
          <w:sz w:val="19"/>
        </w:rPr>
        <w:t xml:space="preserve">0cd424f93650ed42d7888ba8863f803b9af9ab31ceee38ee407ab9afce6056b3</w:t>
      </w:r>
      <w:r>
        <w:br/>
      </w:r>
      <w:r>
        <w:t xml:space="preserve"> Unzip it and run </w:t>
      </w:r>
      <w:r>
        <w:rPr>
          <w:rFonts w:ascii="Consolas" w:hAnsi="Consolas" w:cs="Consolas"/>
          <w:sz w:val="19"/>
        </w:rPr>
        <w:t xml:space="preserve">SedSat3.exe</w:t>
      </w:r>
      <w:r>
        <w:t xml:space="preserve"> from its </w:t>
      </w:r>
      <w:r>
        <w:rPr>
          <w:rFonts w:ascii="Consolas" w:hAnsi="Consolas" w:cs="Consolas"/>
          <w:sz w:val="19"/>
        </w:rPr>
        <w:t xml:space="preserve">bin\bin</w:t>
      </w:r>
      <w:r>
        <w:t xml:space="preserve"> folder; it needs no installation and no administrator rights. It contains the command-line version, both manuals and the example data, and its </w:t>
      </w:r>
      <w:r>
        <w:rPr>
          <w:rFonts w:ascii="Consolas" w:hAnsi="Consolas" w:cs="Consolas"/>
          <w:sz w:val="19"/>
        </w:rPr>
        <w:t xml:space="preserve">README-PORTABLE.txt</w:t>
      </w:r>
      <w:r>
        <w:t xml:space="preserve"> explains how to run it and what results to expect.</w:t>
      </w:r>
    </w:p>
    <w:p>
      <w:pPr/>
      <w:r>
        <w:rPr>
          <w:b/>
        </w:rPr>
        <w:t xml:space="preserve">What has changed, in brief.</w:t>
      </w:r>
    </w:p>
    <w:p>
      <w:pPr>
        <w:pStyle w:val="ListBullet"/>
        <w:numPr>
          <w:ilvl w:val="0"/>
          <w:numId w:val="1"/>
        </w:numPr>
      </w:pPr>
      <w:r>
        <w:rPr>
          <w:b/>
        </w:rPr>
        <w:t xml:space="preserve">All seven crashes are fixed</w:t>
      </w:r>
      <w:r>
        <w:t xml:space="preserve"> (Section 1). Most were caused by one problem: after step 4 with </w:t>
      </w:r>
      <w:r>
        <w:rPr>
          <w:i/>
        </w:rPr>
        <w:t xml:space="preserve">Modify the included elements</w:t>
      </w:r>
      <w:r>
        <w:t xml:space="preserve">, the base elements of the isotopes (Calcium and N) were excluded while the isotopes stayed. The fingerprinting tools now stop with a message that names the isotope and its base element. Element selection no longer excludes the particle size and organic matter constituents.</w:t>
      </w:r>
    </w:p>
    <w:p>
      <w:pPr>
        <w:pStyle w:val="ListBullet"/>
        <w:numPr>
          <w:ilvl w:val="0"/>
          <w:numId w:val="1"/>
        </w:numPr>
      </w:pPr>
      <w:r>
        <w:rPr>
          <w:b/>
        </w:rPr>
        <w:t xml:space="preserve">D50 and TOC are no longer treated as tracers.</w:t>
      </w:r>
      <w:r>
        <w:t xml:space="preserve"> The tools that test or select tracers never include particle size or organic matter constituents.</w:t>
      </w:r>
    </w:p>
    <w:p>
      <w:pPr>
        <w:pStyle w:val="ListBullet"/>
        <w:numPr>
          <w:ilvl w:val="0"/>
          <w:numId w:val="1"/>
        </w:numPr>
      </w:pPr>
      <w:r>
        <w:rPr>
          <w:b/>
        </w:rPr>
        <w:t xml:space="preserve">The Tools menu</w:t>
      </w:r>
      <w:r>
        <w:t xml:space="preserve"> follows the workflow order, and Other Statistical Tools is grouped: Data exploration, Element selection, Discriminant function analysis, Uncertainty and verification.</w:t>
      </w:r>
    </w:p>
    <w:p>
      <w:pPr>
        <w:pStyle w:val="ListBullet"/>
        <w:numPr>
          <w:ilvl w:val="0"/>
          <w:numId w:val="1"/>
        </w:numPr>
      </w:pPr>
      <w:r>
        <w:rPr>
          <w:b/>
        </w:rPr>
        <w:t xml:space="preserve">Charts</w:t>
      </w:r>
      <w:r>
        <w:t xml:space="preserve">: a color-blind-safe palette with the same color for a group in every plot of a window; axis titles that name what is plotted; axis ranges that include every point; p-value plots that always show their axis; observed values in black.</w:t>
      </w:r>
    </w:p>
    <w:p>
      <w:pPr>
        <w:pStyle w:val="ListBullet"/>
        <w:numPr>
          <w:ilvl w:val="0"/>
          <w:numId w:val="1"/>
        </w:numPr>
      </w:pPr>
      <w:r>
        <w:rPr>
          <w:b/>
        </w:rPr>
        <w:t xml:space="preserve">Step 4</w:t>
      </w:r>
      <w:r>
        <w:t xml:space="preserve"> also shows the discriminant scores and eigenvectors of the constituents it selects.</w:t>
      </w:r>
    </w:p>
    <w:p>
      <w:pPr>
        <w:pStyle w:val="ListBullet"/>
        <w:numPr>
          <w:ilvl w:val="0"/>
          <w:numId w:val="1"/>
        </w:numPr>
      </w:pPr>
      <w:r>
        <w:rPr>
          <w:b/>
        </w:rPr>
        <w:t xml:space="preserve">Bayesian defaults</w:t>
      </w:r>
      <w:r>
        <w:t xml:space="preserve">: 100,000 samples and 20,000 burn-in.</w:t>
      </w:r>
    </w:p>
    <w:p>
      <w:pPr>
        <w:pStyle w:val="ListBullet"/>
        <w:numPr>
          <w:ilvl w:val="0"/>
          <w:numId w:val="1"/>
        </w:numPr>
      </w:pPr>
      <w:r>
        <w:rPr>
          <w:b/>
        </w:rPr>
        <w:t xml:space="preserve">The user’s manual</w:t>
      </w:r>
      <w:r>
        <w:t xml:space="preserve"> has been revised for every comment (Sections 5 to 9). Its figures were regenerated from the example data by the current program, at full page width. Each tool’s description in the program ends with the manual section that documents it.</w:t>
      </w:r>
    </w:p>
    <w:p>
      <w:pPr/>
      <w:r>
        <w:t xml:space="preserve">The revised manual is attached as a PDF (</w:t>
      </w:r>
      <w:r>
        <w:rPr>
          <w:rFonts w:ascii="Consolas" w:hAnsi="Consolas" w:cs="Consolas"/>
          <w:sz w:val="19"/>
        </w:rPr>
        <w:t xml:space="preserve">SedSAT3_User_Manual.pdf</w:t>
      </w:r>
      <w:r>
        <w:t xml:space="preserve">); its LaTeX source is in </w:t>
      </w:r>
      <w:r>
        <w:rPr>
          <w:rFonts w:ascii="Consolas" w:hAnsi="Consolas" w:cs="Consolas"/>
          <w:sz w:val="19"/>
        </w:rPr>
        <w:t xml:space="preserve">docs/manual/SedSat_User’s_Manual</w:t>
      </w:r>
      <w:r>
        <w:t xml:space="preserve"> in the repository. Section numbers below refer to it. A few items need a decision from Cara and Allen; they are listed in Section 10.</w:t>
      </w:r>
    </w:p>
    <w:p>
      <w:pPr/>
      <w:r>
        <w:t xml:space="preserve">With thanks,</w:t>
      </w:r>
    </w:p>
    <w:p>
      <w:pPr/>
      <w:r>
        <w:t xml:space="preserve">Arash Massoudieh</w:t>
      </w:r>
    </w:p>
    <w:p>
      <w:r>
        <w:br w:type="page"/>
      </w:r>
    </w:p>
    <w:p>
      <w:r>
        <w:br w:type="page"/>
      </w:r>
    </w:p>
    <w:p>
      <w:pPr>
        <w:pStyle w:val="Heading1"/>
      </w:pPr>
      <w:r>
        <w:t xml:space="preserve">1.  Critical errors (program closed)</w:t>
      </w:r>
    </w:p>
    <w:p>
      <w:pPr/>
      <w:r>
        <w:t xml:space="preserve">For each crash I recreated your dataset and settings (the example data with Aluminum in column 2, the renamed columns, CTAIL1/Aluminum set to 10000, Lead excluded, the size and organic matter correction for CTAIL1) and ran the tool with the current code.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1.1</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Tools → Other Statistical Tools → Correct based on size and organic matter, graph clicked.</w:t>
      </w:r>
    </w:p>
    <w:p>
      <w:pPr/>
      <w:r>
        <w:rPr>
          <w:b/>
        </w:rPr>
        <w:t xml:space="preserve">Response. </w:t>
      </w:r>
      <w:r>
        <w:t xml:space="preserve">Already fixed before your review, in commit </w:t>
      </w:r>
      <w:r>
        <w:rPr>
          <w:rFonts w:ascii="Consolas" w:hAnsi="Consolas" w:cs="Consolas"/>
          <w:sz w:val="19"/>
        </w:rPr>
        <w:t xml:space="preserve">acfc109</w:t>
      </w:r>
      <w:r>
        <w:t xml:space="preserve">. With the linear correction, some corrected values (Manganese, Cobalt) are negative. The chart then fell back to a linear axis but attached the points to a logarithmic axis that it had never created. The chart now uses the axis it creates. The program also reports the negative corrected values (Comment 7.4).</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1.2</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Deterministic Sediment Fingerprinting → 5-Fingerprinting and 6-Fingerprinting (batch).</w:t>
      </w:r>
    </w:p>
    <w:p>
      <w:pPr/>
      <w:r>
        <w:rPr>
          <w:b/>
        </w:rPr>
        <w:t xml:space="preserve">Response. </w:t>
      </w:r>
      <w:r>
        <w:t xml:space="preserve">Reproduced with the current code. As you found, the cause was that the base elements of the isotopes (Calcium for C13 and N for N15) had been excluded, here by step 4 with </w:t>
      </w:r>
      <w:r>
        <w:rPr>
          <w:i/>
        </w:rPr>
        <w:t xml:space="preserve">Modify the included elements</w:t>
      </w:r>
      <w:r>
        <w:t xml:space="preserve">. Fingerprinting needs the base element’s concentration to turn a δ value into an isotope concentration, and it read a distribution that did not exist. Fingerprinting, its batch version, the Bayesian tools, Error Analysis and Source Verification now check every included isotope first. When a base element is excluded, they stop with a message: “The base element ‘N’ of isotope ‘N15’ is excluded from the analysis. Include the base element in the analysis (Settings &gt; Constituent Properties), or exclude the isotope.” The manual says so where isotopes are set up (Section 2.1) and in Section 3.6. Unit test </w:t>
      </w:r>
      <w:r>
        <w:rPr>
          <w:rFonts w:ascii="Consolas" w:hAnsi="Consolas" w:cs="Consolas"/>
          <w:sz w:val="19"/>
        </w:rPr>
        <w:t xml:space="preserve">fingerprinting_isotopeBaseElementExcluded</w:t>
      </w:r>
      <w:r>
        <w:t xml:space="preserve">.</w:t>
      </w:r>
    </w:p>
    <w:p>
      <w:pPr/>
      <w:r>
        <w:rPr>
          <w:i/>
        </w:rPr>
        <w:t xml:space="preserve">Status: </w:t>
      </w:r>
      <w:r>
        <w:t xml:space="preserve">Fixed (</w:t>
      </w:r>
      <w:r>
        <w:rPr>
          <w:rFonts w:ascii="Consolas" w:hAnsi="Consolas" w:cs="Consolas"/>
          <w:sz w:val="19"/>
        </w:rPr>
        <w:t xml:space="preserve">d7d8b92</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1.3</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Other Statistical Tools → Distribution Fitting.</w:t>
      </w:r>
    </w:p>
    <w:p>
      <w:pPr/>
      <w:r>
        <w:rPr>
          <w:b/>
        </w:rPr>
        <w:t xml:space="preserve">Response. </w:t>
      </w:r>
      <w:r>
        <w:t xml:space="preserve">Already fixed in the code review work (commit </w:t>
      </w:r>
      <w:r>
        <w:rPr>
          <w:rFonts w:ascii="Consolas" w:hAnsi="Consolas" w:cs="Consolas"/>
          <w:sz w:val="19"/>
        </w:rPr>
        <w:t xml:space="preserve">ac039a2</w:t>
      </w:r>
      <w:r>
        <w:t xml:space="preserve">). An internal series was created under the wrong name, and the lookup of “Observed” then failed. Your four settings (Box–Cox on and off; C13, Be and Ba; selected samples on and off; the correction for CTAIL1) all run now. For C13 without Box–Cox, the tool stops with a message, because a log-normal distribution cannot be fitted to negative values.</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1.4</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Other Statistical Tools → Elements’ Discriminant Power (Multi-way).</w:t>
      </w:r>
    </w:p>
    <w:p>
      <w:pPr/>
      <w:r>
        <w:rPr>
          <w:b/>
        </w:rPr>
        <w:t xml:space="preserve">Response. </w:t>
      </w:r>
      <w:r>
        <w:t xml:space="preserve">Reproduced with the current code. The multi-way tool built its title from two source groups, as the two-way tool does, but its form has no group fields, so it failed on every setting. Fixed. Unit test </w:t>
      </w:r>
      <w:r>
        <w:rPr>
          <w:rFonts w:ascii="Consolas" w:hAnsi="Consolas" w:cs="Consolas"/>
          <w:sz w:val="19"/>
        </w:rPr>
        <w:t xml:space="preserve">multiwayDiscriminantPower_runs</w:t>
      </w:r>
      <w:r>
        <w:t xml:space="preserve">.</w:t>
      </w:r>
    </w:p>
    <w:p>
      <w:pPr/>
      <w:r>
        <w:rPr>
          <w:i/>
        </w:rPr>
        <w:t xml:space="preserve">Status: </w:t>
      </w:r>
      <w:r>
        <w:t xml:space="preserve">Fixed (</w:t>
      </w:r>
      <w:r>
        <w:rPr>
          <w:rFonts w:ascii="Consolas" w:hAnsi="Consolas" w:cs="Consolas"/>
          <w:sz w:val="19"/>
        </w:rPr>
        <w:t xml:space="preserve">d7d8b92</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1.5</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Other Statistical Tools → Error Analysis; Other Statistical Tools → Source Verification.</w:t>
      </w:r>
    </w:p>
    <w:p>
      <w:pPr/>
      <w:r>
        <w:rPr>
          <w:b/>
        </w:rPr>
        <w:t xml:space="preserve">Response. </w:t>
      </w:r>
      <w:r>
        <w:t xml:space="preserve">Both run with the current code when the isotopes’ base elements are included; they failed in your session for the reason given above (Calcium and N excluded). They now stop with the same message instead. While checking Error Analysis I also found that its frequency-distribution panel plotted only the first realization, a narrow spike. It now uses all realizations (</w:t>
      </w:r>
      <w:r>
        <w:rPr>
          <w:rFonts w:ascii="Consolas" w:hAnsi="Consolas" w:cs="Consolas"/>
          <w:sz w:val="19"/>
        </w:rPr>
        <w:t xml:space="preserve">8708c20</w:t>
      </w:r>
      <w:r>
        <w:t xml:space="preserve">).</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1.6</w:t>
      </w:r>
      <w:r>
        <w:rPr>
          <w:i/>
        </w:rPr>
        <w:t xml:space="preserve">    Comment in the manual, Elements’ correlation matrix</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Attempted to run with OM and Size correction based on CTAIL1, all checkboxes clicked: program closed. Works with no corrections.</w:t>
      </w:r>
    </w:p>
    <w:p>
      <w:pPr/>
      <w:r>
        <w:rPr>
          <w:b/>
        </w:rPr>
        <w:t xml:space="preserve">Response. </w:t>
      </w:r>
      <w:r>
        <w:t xml:space="preserve">Reproduced with the current code. With </w:t>
      </w:r>
      <w:r>
        <w:rPr>
          <w:i/>
        </w:rPr>
        <w:t xml:space="preserve">Use only selected elements</w:t>
      </w:r>
      <w:r>
        <w:t xml:space="preserve">, the tool dropped the excluded constituents, including TOC and D50, before applying the correction that needs them. It now corrects first and filters afterwards, as the other tools do. Unit test </w:t>
      </w:r>
      <w:r>
        <w:rPr>
          <w:rFonts w:ascii="Consolas" w:hAnsi="Consolas" w:cs="Consolas"/>
          <w:sz w:val="19"/>
        </w:rPr>
        <w:t xml:space="preserve">correlationMatrix_correctedWithSelectedElements</w:t>
      </w:r>
      <w:r>
        <w:t xml:space="preserve">.</w:t>
      </w:r>
    </w:p>
    <w:p>
      <w:pPr/>
      <w:r>
        <w:t xml:space="preserve">The test for this fix also exposed another crash: the organic matter and size regression stopped the program (inside the GSL library) when a group had no more samples than regression coefficients. Such a group now gets a regression that corrects nothing.</w:t>
      </w:r>
    </w:p>
    <w:p>
      <w:pPr/>
      <w:r>
        <w:rPr>
          <w:i/>
        </w:rPr>
        <w:t xml:space="preserve">Status: </w:t>
      </w:r>
      <w:r>
        <w:t xml:space="preserve">Fixed (</w:t>
      </w:r>
      <w:r>
        <w:rPr>
          <w:rFonts w:ascii="Consolas" w:hAnsi="Consolas" w:cs="Consolas"/>
          <w:sz w:val="19"/>
        </w:rPr>
        <w:t xml:space="preserve">d7d8b92</w:t>
      </w:r>
      <w:r>
        <w:t xml:space="preserve">).</w:t>
      </w:r>
    </w:p>
    <w:p>
      <w:pPr>
        <w:pStyle w:val="Heading1"/>
      </w:pPr>
      <w:r>
        <w:t xml:space="preserve">2.  README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2.1</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Neither the readme nor the documentation have up-to-date instructions on how to install and run the program. Instructions are only available in the readme within the zip file. Both the front page readme on code.usgs.gov and the documentation should have basic setup instructions.</w:t>
      </w:r>
    </w:p>
    <w:p>
      <w:pPr/>
      <w:r>
        <w:rPr>
          <w:b/>
        </w:rPr>
        <w:t xml:space="preserve">Response. </w:t>
      </w:r>
      <w:r>
        <w:t xml:space="preserve">The README on the review branch, which becomes the front page when merge request !4 is merged, has a section “Running the portable Windows build” and build instructions for every platform. The manual has a new chapter, “Getting started” (Section 1.1), with the same installation steps.</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2.2</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Opening paragraph ends in “…” — is it incomplete? Monte Carlo should be spelled out, and (MCMC) put after the full name.</w:t>
      </w:r>
    </w:p>
    <w:p>
      <w:pPr/>
      <w:r>
        <w:rPr>
          <w:b/>
        </w:rPr>
        <w:t xml:space="preserve">Response. </w:t>
      </w:r>
      <w:r>
        <w:t xml:space="preserve">The README was rewritten during the code review. Its opening paragraph is complete, and it spells out “Markov chain Monte Carlo (MCMC)” at first use.</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2.3</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Links to GitHub will need to be updated to code.usgs.gov. Citation needs a DOI, not the GitHub URL </w:t>
      </w:r>
      <w:r>
        <w:t xml:space="preserve">https://sedsat.org/</w:t>
      </w:r>
      <w:r>
        <w:t xml:space="preserve">.</w:t>
      </w:r>
    </w:p>
    <w:p>
      <w:pPr/>
      <w:r>
        <w:rPr>
          <w:b/>
        </w:rPr>
        <w:t xml:space="preserve">Response. </w:t>
      </w:r>
      <w:r>
        <w:t xml:space="preserve">The README no longer links to GitHub or sedsat.org. Its repository link and citation hold placeholders for the final code.usgs.gov address and the software release DOI, which are set at release. </w:t>
      </w:r>
      <w:r>
        <w:rPr>
          <w:b/>
          <w:color w:val="BE1E1E"/>
        </w:rPr>
        <w:t xml:space="preserve">[Cara: the final repository path and the DOI.]</w:t>
      </w:r>
    </w:p>
    <w:p>
      <w:pPr/>
      <w:r>
        <w:rPr>
          <w:i/>
        </w:rPr>
        <w:t xml:space="preserve">Status: </w:t>
      </w:r>
      <w:r>
        <w:t xml:space="preserve">Placeholders in place; values pending the release.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2.4</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 do not know the regulations around storing software on a non-government public website, or around online forms that collect name, email and company. Please verify that this meets software release and online form guidelines. Is </w:t>
      </w:r>
      <w:r>
        <w:t xml:space="preserve">https://sedsat.org/</w:t>
      </w:r>
      <w:r>
        <w:t xml:space="preserve"> just for the Windows download? Its MacOS and Linux links: do they bypass the Readme instructions? The website gave a warning that the download may not be safe.</w:t>
      </w:r>
    </w:p>
    <w:p>
      <w:pPr/>
      <w:r>
        <w:rPr>
          <w:b/>
        </w:rPr>
        <w:t xml:space="preserve">Response. </w:t>
      </w:r>
      <w:r>
        <w:t xml:space="preserve">These questions are about sedsat.org, a site I set up before the USGS release. The USGS release will be distributed from code.usgs.gov, and the README and the manual no longer refer to sedsat.org. </w:t>
      </w:r>
      <w:r>
        <w:rPr>
          <w:b/>
          <w:color w:val="BE1E1E"/>
        </w:rPr>
        <w:t xml:space="preserve">[Cara, Allen: decide whether sedsat.org is retired, or kept only as a pointer to the USGS release, and check its download form against USGS guidelines if it stays.]</w:t>
      </w:r>
      <w:r>
        <w:t xml:space="preserve"> The browser warning is likely because the Windows executable is not code-signed; packages from code.usgs.gov have the same issue unless they are signed. </w:t>
      </w:r>
      <w:r>
        <w:rPr>
          <w:b/>
          <w:color w:val="BE1E1E"/>
        </w:rPr>
        <w:t xml:space="preserve">[Cara: ask the release coordinator whether the Windows package should be signed.]</w:t>
      </w:r>
    </w:p>
    <w:p>
      <w:pPr/>
      <w:r>
        <w:rPr>
          <w:i/>
        </w:rPr>
        <w:t xml:space="preserve">Status: </w:t>
      </w:r>
      <w:r>
        <w:t xml:space="preserve">Decision for Cara and Allen.</w:t>
      </w:r>
    </w:p>
    <w:p>
      <w:pPr>
        <w:pStyle w:val="Heading1"/>
      </w:pPr>
      <w:r>
        <w:t xml:space="preserve">3.  Sample data</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3.1</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 found three example data files. The two called SampleData.xlsx were identical; virtual-mixture.xlsx (in the package registry) differs: Calcium is “Calcium_µg/g”, and Nickel, Potassium, Uranium and Vanadium have “gg” appended.</w:t>
      </w:r>
    </w:p>
    <w:p>
      <w:pPr/>
      <w:r>
        <w:rPr>
          <w:b/>
        </w:rPr>
        <w:t xml:space="preserve">Response. </w:t>
      </w:r>
      <w:r>
        <w:t xml:space="preserve">The example dataset for the manual and the release is </w:t>
      </w:r>
      <w:r>
        <w:rPr>
          <w:rFonts w:ascii="Consolas" w:hAnsi="Consolas" w:cs="Consolas"/>
          <w:sz w:val="19"/>
        </w:rPr>
        <w:t xml:space="preserve">examples/SampleData.xlsx</w:t>
      </w:r>
      <w:r>
        <w:t xml:space="preserve"> in the repository. The manual now names it and no longer links to sedsat.org (Section 1.1). </w:t>
      </w:r>
      <w:r>
        <w:rPr>
          <w:rFonts w:ascii="Consolas" w:hAnsi="Consolas" w:cs="Consolas"/>
          <w:sz w:val="19"/>
        </w:rPr>
        <w:t xml:space="preserve">virtual-mixture.xlsx</w:t>
      </w:r>
      <w:r>
        <w:t xml:space="preserve"> was a test file with synthetic target samples. Its odd column names come from an old test of unusual characters in names, and it should not be shipped as an example. The Windows package now ships </w:t>
      </w:r>
      <w:r>
        <w:rPr>
          <w:rFonts w:ascii="Consolas" w:hAnsi="Consolas" w:cs="Consolas"/>
          <w:sz w:val="19"/>
        </w:rPr>
        <w:t xml:space="preserve">examples/SampleData.xlsx</w:t>
      </w:r>
      <w:r>
        <w:t xml:space="preserve"> as its only example data set, with the same data saved as a project (</w:t>
      </w:r>
      <w:r>
        <w:rPr>
          <w:rFonts w:ascii="Consolas" w:hAnsi="Consolas" w:cs="Consolas"/>
          <w:sz w:val="19"/>
        </w:rPr>
        <w:t xml:space="preserve">examples/SampleData.cmb</w:t>
      </w:r>
      <w:r>
        <w:t xml:space="preserve">) for the command-line example; the packaging instructions say so, and </w:t>
      </w:r>
      <w:r>
        <w:rPr>
          <w:rFonts w:ascii="Consolas" w:hAnsi="Consolas" w:cs="Consolas"/>
          <w:sz w:val="19"/>
        </w:rPr>
        <w:t xml:space="preserve">virtual-mixture.xlsx</w:t>
      </w:r>
      <w:r>
        <w:t xml:space="preserve"> is no longer included.</w:t>
      </w:r>
    </w:p>
    <w:p>
      <w:pPr/>
      <w:r>
        <w:rPr>
          <w:i/>
        </w:rPr>
        <w:t xml:space="preserve">Status: </w:t>
      </w:r>
      <w:r>
        <w:t xml:space="preserve">Done.</w:t>
      </w:r>
    </w:p>
    <w:p>
      <w:pPr>
        <w:pStyle w:val="Heading1"/>
      </w:pPr>
      <w:r>
        <w:t xml:space="preserve">4.  The program</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4.1</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Many steps have the checkboxes “Use only selected elements” and “Use only selected samples”, but nothing stops the user from selecting yes in one part of the analysis and no in another. Are the user’s selections saved somewhere?</w:t>
      </w:r>
    </w:p>
    <w:p>
      <w:pPr/>
      <w:r>
        <w:rPr>
          <w:b/>
        </w:rPr>
        <w:t xml:space="preserve">Response. </w:t>
      </w:r>
      <w:r>
        <w:t xml:space="preserve">These options are intentionally per tool: an exploratory tool can look at all constituents while fingerprinting uses only the selected ones. The manual now explains this in a new section, “Settings shared by many tools” (Section 1.3.2). It says that each tool applies the options to its own run only, that results compare only when run with the same options, and that the selections are saved in the project file. Two changes make the selections safer. Particle size and organic matter constituents can no longer be selected or excluded as tracers by any tool. The fingerprinting tools refuse an isotope whose base element is excluded.</w:t>
      </w:r>
    </w:p>
    <w:p>
      <w:pPr/>
      <w:r>
        <w:rPr>
          <w:i/>
        </w:rPr>
        <w:t xml:space="preserve">Status: </w:t>
      </w:r>
      <w:r>
        <w:t xml:space="preserve">Documented; partly changed.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4.2</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After an error in DFA with linear corrections, I went back to step 2 and chose power transforms, but at the bracket test step only 6 tracers appeared. Warnings should be given in the program and the documentation that returning to a previous step can result in mixups.</w:t>
      </w:r>
    </w:p>
    <w:p>
      <w:pPr/>
      <w:r>
        <w:rPr>
          <w:b/>
        </w:rPr>
        <w:t xml:space="preserve">Response. </w:t>
      </w:r>
      <w:r>
        <w:t xml:space="preserve">The six tracers were those selected by step 4: </w:t>
      </w:r>
      <w:r>
        <w:rPr>
          <w:i/>
        </w:rPr>
        <w:t xml:space="preserve">Modify the included elements</w:t>
      </w:r>
      <w:r>
        <w:t xml:space="preserve"> had excluded the others, and that exclusion applies to every later tool, including earlier steps run again. The warning is now in the tool descriptions of step 4, ANOVA and auto-select, and in a note in Section 1.3.2 of the manual.</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4.3</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In many cases, once a step has completed, there is a progress window at 100%. Could it close automatically when the results window is closed? (Also: the progress window appears behind the results window; users may think the program failed.)</w:t>
      </w:r>
    </w:p>
    <w:p>
      <w:pPr/>
      <w:r>
        <w:rPr>
          <w:b/>
        </w:rPr>
        <w:t xml:space="preserve">Response. </w:t>
      </w:r>
      <w:r>
        <w:t xml:space="preserve">Already fixed in the code review work. Progress windows now close as soon as the analysis ends, so none is left behind the results.</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4.4</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Several plots have points at the axis limits; expand the axes. Check axis labels and tick marks on all plots.</w:t>
      </w:r>
    </w:p>
    <w:p>
      <w:pPr/>
      <w:r>
        <w:rPr>
          <w:b/>
        </w:rPr>
        <w:t xml:space="preserve">Response. </w:t>
      </w:r>
      <w:r>
        <w:t xml:space="preserve">I went through every chart type, rendering each with the example data. The changes:</w:t>
      </w:r>
    </w:p>
    <w:p>
      <w:pPr>
        <w:pStyle w:val="ListBullet"/>
        <w:numPr>
          <w:ilvl w:val="0"/>
          <w:numId w:val="1"/>
        </w:numPr>
      </w:pPr>
      <w:r>
        <w:t xml:space="preserve">The axes now extend beyond the data: the lower limit was rounded to the nearest value instead of down, which cut off the smallest points and bars.</w:t>
      </w:r>
    </w:p>
    <w:p>
      <w:pPr>
        <w:pStyle w:val="ListBullet"/>
        <w:numPr>
          <w:ilvl w:val="0"/>
          <w:numId w:val="1"/>
        </w:numPr>
      </w:pPr>
      <w:r>
        <w:t xml:space="preserve">The axis titles name what is plotted: “Constituent”, “Constituents, in the order added”, “Discriminant score”, “Probability density”, and the name of the quantity rather than “Value”. Several plots had none.</w:t>
      </w:r>
    </w:p>
    <w:p>
      <w:pPr>
        <w:pStyle w:val="ListBullet"/>
        <w:numPr>
          <w:ilvl w:val="0"/>
          <w:numId w:val="1"/>
        </w:numPr>
      </w:pPr>
      <w:r>
        <w:t xml:space="preserve">MCMC sample numbers are whole numbers.</w:t>
      </w:r>
    </w:p>
    <w:p>
      <w:pPr>
        <w:pStyle w:val="ListBullet"/>
        <w:numPr>
          <w:ilvl w:val="0"/>
          <w:numId w:val="1"/>
        </w:numPr>
      </w:pPr>
      <w:r>
        <w:t xml:space="preserve">The Box–Cox plot has a grid line through zero.</w:t>
      </w:r>
    </w:p>
    <w:p>
      <w:pPr>
        <w:pStyle w:val="ListBullet"/>
        <w:numPr>
          <w:ilvl w:val="0"/>
          <w:numId w:val="1"/>
        </w:numPr>
      </w:pPr>
      <w:r>
        <w:t xml:space="preserve">The p-value plots always show their axis. Qt’s logarithmic axis disappears for values below about 10⁻¹², so such values are now plotted as base-10 logarithms, which the axis title says.</w:t>
      </w:r>
    </w:p>
    <w:p>
      <w:pPr/>
      <w:r>
        <w:rPr>
          <w:i/>
        </w:rPr>
        <w:t xml:space="preserve">Status: </w:t>
      </w:r>
      <w:r>
        <w:t xml:space="preserve">Fixed (</w:t>
      </w:r>
      <w:r>
        <w:rPr>
          <w:rFonts w:ascii="Consolas" w:hAnsi="Consolas" w:cs="Consolas"/>
          <w:sz w:val="19"/>
        </w:rPr>
        <w:t xml:space="preserve">d7d8b92</w:t>
      </w:r>
      <w:r>
        <w:t xml:space="preserve">, </w:t>
      </w:r>
      <w:r>
        <w:rPr>
          <w:rFonts w:ascii="Consolas" w:hAnsi="Consolas" w:cs="Consolas"/>
          <w:sz w:val="19"/>
        </w:rPr>
        <w:t xml:space="preserve">8708c20</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4.5</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Suggest adding User Manual section numbers to each step in the Description field.</w:t>
      </w:r>
    </w:p>
    <w:p>
      <w:pPr/>
      <w:r>
        <w:rPr>
          <w:b/>
        </w:rPr>
        <w:t xml:space="preserve">Response. </w:t>
      </w:r>
      <w:r>
        <w:t xml:space="preserve">Done. Each tool’s description now ends with “(User’s manual, Section N.)”.</w:t>
      </w:r>
    </w:p>
    <w:p>
      <w:pPr/>
      <w:r>
        <w:rPr>
          <w:i/>
        </w:rPr>
        <w:t xml:space="preserve">Status: </w:t>
      </w:r>
      <w:r>
        <w:t xml:space="preserve">Done (</w:t>
      </w:r>
      <w:r>
        <w:rPr>
          <w:rFonts w:ascii="Consolas" w:hAnsi="Consolas" w:cs="Consolas"/>
          <w:sz w:val="19"/>
        </w:rPr>
        <w:t xml:space="preserve">ae2e4d5</w:t>
      </w:r>
      <w:r>
        <w:t xml:space="preserve">).</w:t>
      </w:r>
    </w:p>
    <w:p>
      <w:pPr>
        <w:pStyle w:val="Heading1"/>
      </w:pPr>
      <w:r>
        <w:t xml:space="preserve">5.  Documentation</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5.1</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documentation provided as a Word document does not match the documentation linked from sedsat.org.</w:t>
      </w:r>
    </w:p>
    <w:p>
      <w:pPr/>
      <w:r>
        <w:rPr>
          <w:b/>
        </w:rPr>
        <w:t xml:space="preserve">Response. </w:t>
      </w:r>
      <w:r>
        <w:t xml:space="preserve">The Word document is the current manual; the sedsat.org copy is the earlier version and will not be the published one. The manual source is now in the repository, so there is one version.</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5.2</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“Panels” are mentioned frequently. For novice users, explain what is meant by panels; tell them to scroll down to see additional results.</w:t>
      </w:r>
    </w:p>
    <w:p>
      <w:pPr/>
      <w:r>
        <w:rPr>
          <w:b/>
        </w:rPr>
        <w:t xml:space="preserve">Response. </w:t>
      </w:r>
      <w:r>
        <w:t xml:space="preserve">A new section, “The result window” (Section 1.3.1), explains the panels, the graph, table and export buttons, and scrolling for further panels.</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5.3</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More user guidance is needed in results interpretation, even if just references to other work. A novice in statistics will have difficulty using this tool.</w:t>
      </w:r>
    </w:p>
    <w:p>
      <w:pPr/>
      <w:r>
        <w:rPr>
          <w:b/>
        </w:rPr>
        <w:t xml:space="preserve">Response. </w:t>
      </w:r>
      <w:r>
        <w:t xml:space="preserve">Added a section “Interpreting the results” (Section 4.3), with references to your Sed_SAT report and to the review by Collins and others (2017). Interpretation is also added where the results are described: the posterior predictive plots and what a measured value outside them means; convergence of the MCMC samples; the DFA scatter plots; the error analysis distributions; and source verification read as a classification check.</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5.4</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It would be helpful to include a table of method changes (or new methods) from SedSat v1.0 to SedSat v3.0.</w:t>
      </w:r>
    </w:p>
    <w:p>
      <w:pPr/>
      <w:r>
        <w:rPr>
          <w:b/>
        </w:rPr>
        <w:t xml:space="preserve">Response. </w:t>
      </w:r>
      <w:r>
        <w:t xml:space="preserve">Added Table 1.1, “Methods in SedSAT3” (Section 1.2). For each method it gives SedSAT3’s approach, where the manual describes it, and how it compares with Sed_SAT 1.0: the same, changed, new, or not in SedSAT3. I wrote the comparison from the Sed_SAT 1.0 source code (the software release, doi:10.5066/F76Q1VBX) and its report.</w:t>
      </w:r>
    </w:p>
    <w:p>
      <w:pPr/>
      <w:r>
        <w:t xml:space="preserve">The comparison prompted two changes. SedSAT3 no longer corrects stable isotopes for organic matter and size by default, as in Sed_SAT 1.0, which avoided biasing them (the user can still choose to correct them). Step 4 has a confusion matrix (Comment 7.12). Sed_SAT 1.0 also did three things that SedSAT3 does not:</w:t>
      </w:r>
    </w:p>
    <w:p>
      <w:pPr>
        <w:pStyle w:val="ListBullet"/>
        <w:numPr>
          <w:ilvl w:val="0"/>
          <w:numId w:val="1"/>
        </w:numPr>
      </w:pPr>
      <w:r>
        <w:t xml:space="preserve">imputing values below detection;</w:t>
      </w:r>
    </w:p>
    <w:p>
      <w:pPr>
        <w:pStyle w:val="ListBullet"/>
        <w:numPr>
          <w:ilvl w:val="0"/>
          <w:numId w:val="1"/>
        </w:numPr>
      </w:pPr>
      <w:r>
        <w:t xml:space="preserve">a tolerance in the bracket test;</w:t>
      </w:r>
    </w:p>
    <w:p>
      <w:pPr>
        <w:pStyle w:val="ListBullet"/>
        <w:numPr>
          <w:ilvl w:val="0"/>
          <w:numId w:val="1"/>
        </w:numPr>
      </w:pPr>
      <w:r>
        <w:t xml:space="preserve">using tracer weighting factors from the DFA in the mixing model.</w:t>
      </w:r>
    </w:p>
    <w:p>
      <w:pPr/>
      <w:r>
        <w:t xml:space="preserve">We decided as follows:</w:t>
      </w:r>
    </w:p>
    <w:p>
      <w:pPr>
        <w:pStyle w:val="ListBullet"/>
        <w:numPr>
          <w:ilvl w:val="0"/>
          <w:numId w:val="1"/>
        </w:numPr>
      </w:pPr>
      <w:r>
        <w:rPr>
          <w:b/>
        </w:rPr>
        <w:t xml:space="preserve">Values below detection:</w:t>
      </w:r>
      <w:r>
        <w:t xml:space="preserve"> not added. The substitution for a non-detect depends on the laboratory and the method, so it is the analyst’s choice; the user replaces these values before import, as the manual explains (Chapter 2).</w:t>
      </w:r>
    </w:p>
    <w:p>
      <w:pPr>
        <w:pStyle w:val="ListBullet"/>
        <w:numPr>
          <w:ilvl w:val="0"/>
          <w:numId w:val="1"/>
        </w:numPr>
      </w:pPr>
      <w:r>
        <w:rPr>
          <w:b/>
        </w:rPr>
        <w:t xml:space="preserve">Bracket test tolerance:</w:t>
      </w:r>
      <w:r>
        <w:t xml:space="preserve"> added. A new option, </w:t>
      </w:r>
      <w:r>
        <w:rPr>
          <w:i/>
        </w:rPr>
        <w:t xml:space="preserve">Tolerance (%)</w:t>
      </w:r>
      <w:r>
        <w:t xml:space="preserve">, lowers the minimum and raises the maximum of all source samples by that percentage of their range before the test (Section 3.3). The default is 0, the strict test, so results do not change unless it is chosen. Sed_SAT 1.0 widened the minimum and maximum by a percentage of their own values instead; a margin based on the range works the same for δ values, which can be negative or near zero.</w:t>
      </w:r>
    </w:p>
    <w:p>
      <w:pPr>
        <w:pStyle w:val="ListBullet"/>
        <w:numPr>
          <w:ilvl w:val="0"/>
          <w:numId w:val="1"/>
        </w:numPr>
      </w:pPr>
      <w:r>
        <w:rPr>
          <w:b/>
        </w:rPr>
        <w:t xml:space="preserve">DFA weighting factors:</w:t>
      </w:r>
      <w:r>
        <w:t xml:space="preserve"> not added. The Bayesian model already estimates an error standard deviation for each constituent, which weights the constituents by how well the mixing model reproduces them. Weights from the DFA would favor the tracers that separate the sources best, not those that behave conservatively.</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5.5</w:t>
      </w:r>
      <w:r>
        <w:rPr>
          <w:i/>
        </w:rPr>
        <w:t xml:space="preserve">    Review notes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Figures are often too small to see without zooming in. Several naming differences between the manual and the program.</w:t>
      </w:r>
    </w:p>
    <w:p>
      <w:pPr/>
      <w:r>
        <w:rPr>
          <w:b/>
        </w:rPr>
        <w:t xml:space="preserve">Response. </w:t>
      </w:r>
      <w:r>
        <w:t xml:space="preserve">Figures are now full page width (half width in side-by-side pairs). Most were regenerated from the example data with the current program, often as the chart or table alone rather than the whole screen. Every menu path and tool name in the manual now matches the program exactly; the program’s names were also harmonized (“Multi-way” throughout). The screenshots of the main window, the sheet dialog and the progress window were also retaken with the current program, and the pictures of the batch output folders and files are replaced by excerpts of a real batch run of the example data, as text.</w:t>
      </w:r>
    </w:p>
    <w:p>
      <w:pPr/>
      <w:r>
        <w:rPr>
          <w:i/>
        </w:rPr>
        <w:t xml:space="preserve">Status: </w:t>
      </w:r>
      <w:r>
        <w:t xml:space="preserve">Done.</w:t>
      </w:r>
    </w:p>
    <w:p>
      <w:pPr>
        <w:pStyle w:val="Heading1"/>
      </w:pPr>
      <w:r>
        <w:t xml:space="preserve">6.  Comments in the user’s manual: getting started and data</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6.1</w:t>
      </w:r>
      <w:r>
        <w:rPr>
          <w:i/>
        </w:rPr>
        <w:t xml:space="preserve">    Title page</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Version. Publication date. “Missing” (at the table of contents).</w:t>
      </w:r>
    </w:p>
    <w:p>
      <w:pPr/>
      <w:r>
        <w:rPr>
          <w:b/>
        </w:rPr>
        <w:t xml:space="preserve">Response. </w:t>
      </w:r>
      <w:r>
        <w:t xml:space="preserve">The title page now gives the software version, 1.1.8, and the date as a placeholder until publication. The manual now also has a list of figures after the table of contents, which covers the “missing” item; the PDF has a full table of contents. </w:t>
      </w:r>
      <w:r>
        <w:rPr>
          <w:b/>
          <w:color w:val="BE1E1E"/>
        </w:rPr>
        <w:t xml:space="preserve">[Cara: confirm the version number and set the publication date.]</w:t>
      </w:r>
    </w:p>
    <w:p>
      <w:pPr/>
      <w:r>
        <w:rPr>
          <w:i/>
        </w:rPr>
        <w:t xml:space="preserve">Status: </w:t>
      </w:r>
      <w:r>
        <w:t xml:space="preserve">Done; version and date pending.</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6.2</w:t>
      </w:r>
      <w:r>
        <w:rPr>
          <w:i/>
        </w:rPr>
        <w:t xml:space="preserve">    Raw data preparation</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What about missing values or zeros? Are those allowed? How are negatives managed? What if data is both positive and negative in a given element?</w:t>
      </w:r>
    </w:p>
    <w:p>
      <w:pPr/>
      <w:r>
        <w:rPr>
          <w:b/>
        </w:rPr>
        <w:t xml:space="preserve">Response. </w:t>
      </w:r>
      <w:r>
        <w:t xml:space="preserve">A new paragraph, “Missing, zero and negative values” (Chapter 2), explains:</w:t>
      </w:r>
    </w:p>
    <w:p>
      <w:pPr>
        <w:pStyle w:val="ListBullet"/>
        <w:numPr>
          <w:ilvl w:val="0"/>
          <w:numId w:val="1"/>
        </w:numPr>
      </w:pPr>
      <w:r>
        <w:t xml:space="preserve">Every cell must hold a finite number; an empty cell, text, NaN or Inf stops the import with the sheet, row and column. Values below detection must be replaced before import.</w:t>
      </w:r>
    </w:p>
    <w:p>
      <w:pPr>
        <w:pStyle w:val="ListBullet"/>
        <w:numPr>
          <w:ilvl w:val="0"/>
          <w:numId w:val="1"/>
        </w:numPr>
      </w:pPr>
      <w:r>
        <w:t xml:space="preserve">Elements are modeled on a log scale, so an element with a zero or negative value cannot be used for fingerprinting; the program says which.</w:t>
      </w:r>
    </w:p>
    <w:p>
      <w:pPr>
        <w:pStyle w:val="ListBullet"/>
        <w:numPr>
          <w:ilvl w:val="0"/>
          <w:numId w:val="1"/>
        </w:numPr>
      </w:pPr>
      <w:r>
        <w:t xml:space="preserve">Isotope δ values may be negative or of mixed sign: they are used on a linear scale and never log-transformed (Section 6.1.1, extended for this).</w:t>
      </w:r>
    </w:p>
    <w:p>
      <w:pPr>
        <w:pStyle w:val="ListBullet"/>
        <w:numPr>
          <w:ilvl w:val="0"/>
          <w:numId w:val="1"/>
        </w:numPr>
      </w:pPr>
      <w:r>
        <w:t xml:space="preserve">The Box–Cox transformation leaves non-positive constituents untransformed and lists them.</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6.3</w:t>
      </w:r>
      <w:r>
        <w:rPr>
          <w:i/>
        </w:rPr>
        <w:t xml:space="preserve">    Raw data preparation</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Tested by placing Aluminum in column 2 (passed); by changing Calcium to Calcium_µg/g and Arsenic to “Arsenic space” (passed). All edits conformed to “each sheet must contain exactly the same elements”.</w:t>
      </w:r>
    </w:p>
    <w:p>
      <w:pPr/>
      <w:r>
        <w:rPr>
          <w:b/>
        </w:rPr>
        <w:t xml:space="preserve">Response. </w:t>
      </w:r>
      <w:r>
        <w:t xml:space="preserve">Thank you for these tests. The import also refuses a sheet whose header has a gap, a duplicate sample name, and a blank row followed by more samples, each with a message.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6.4</w:t>
      </w:r>
      <w:r>
        <w:rPr>
          <w:i/>
        </w:rPr>
        <w:t xml:space="preserve">    Raw data preparation</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https://sedsat.org/wp-content/Data/SampleData.xlsx</w:t>
      </w:r>
      <w:r>
        <w:t xml:space="preserve">: should this link be updated to a code.usgs.gov address? What about virtual-mixture.xlsx?</w:t>
      </w:r>
    </w:p>
    <w:p>
      <w:pPr/>
      <w:r>
        <w:rPr>
          <w:b/>
        </w:rPr>
        <w:t xml:space="preserve">Response. </w:t>
      </w:r>
      <w:r>
        <w:t xml:space="preserve">The link is replaced by the example file’s place in the repository and the Windows package. On virtual-mixture.xlsx, see Section 3.</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6.5</w:t>
      </w:r>
      <w:r>
        <w:rPr>
          <w:i/>
        </w:rPr>
        <w:t xml:space="preserve">    Importing the data</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Minimum number of samples per source group? Is there a minimum or maximum number of source groups?</w:t>
      </w:r>
    </w:p>
    <w:p>
      <w:pPr/>
      <w:r>
        <w:rPr>
          <w:b/>
        </w:rPr>
        <w:t xml:space="preserve">Response. </w:t>
      </w:r>
      <w:r>
        <w:t xml:space="preserve">New paragraph “Number of samples and source groups” (Chapter 2):</w:t>
      </w:r>
    </w:p>
    <w:p>
      <w:pPr>
        <w:pStyle w:val="ListBullet"/>
        <w:numPr>
          <w:ilvl w:val="0"/>
          <w:numId w:val="1"/>
        </w:numPr>
      </w:pPr>
      <w:r>
        <w:t xml:space="preserve">At least two source groups, and at least two samples per group.</w:t>
      </w:r>
    </w:p>
    <w:p>
      <w:pPr>
        <w:pStyle w:val="ListBullet"/>
        <w:numPr>
          <w:ilvl w:val="0"/>
          <w:numId w:val="1"/>
        </w:numPr>
      </w:pPr>
      <w:r>
        <w:t xml:space="preserve">The organic matter and size regression needs more samples in a group than coefficients.</w:t>
      </w:r>
    </w:p>
    <w:p>
      <w:pPr>
        <w:pStyle w:val="ListBullet"/>
        <w:numPr>
          <w:ilvl w:val="0"/>
          <w:numId w:val="1"/>
        </w:numPr>
      </w:pPr>
      <w:r>
        <w:t xml:space="preserve">Discriminant function analysis needs more samples than constituents plus groups.</w:t>
      </w:r>
    </w:p>
    <w:p>
      <w:pPr>
        <w:pStyle w:val="ListBullet"/>
        <w:numPr>
          <w:ilvl w:val="0"/>
          <w:numId w:val="1"/>
        </w:numPr>
      </w:pPr>
      <w:r>
        <w:t xml:space="preserve">The mass balance can separate at most one more source than the number of tracers.</w:t>
      </w:r>
    </w:p>
    <w:p>
      <w:pPr/>
      <w:r>
        <w:t xml:space="preserve">There is no maximum number of groups other than this last limit.</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6.6</w:t>
      </w:r>
      <w:r>
        <w:rPr>
          <w:i/>
        </w:rPr>
        <w:t xml:space="preserve">    Importing the data, Fig. 1.1</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My dialog box has blue circles and it’s difficult to see what is selected and what is not.</w:t>
      </w:r>
    </w:p>
    <w:p>
      <w:pPr/>
      <w:r>
        <w:rPr>
          <w:b/>
        </w:rPr>
        <w:t xml:space="preserve">Response. </w:t>
      </w:r>
      <w:r>
        <w:t xml:space="preserve">These are the Windows style’s radio buttons; the selected one has a filled center, which is faint. The dialog now shows the target sheet’s name in bold, marked “(target)”, and names it at the top. It also refuses </w:t>
      </w:r>
      <w:r>
        <w:rPr>
          <w:b/>
        </w:rPr>
        <w:t xml:space="preserve">Ok</w:t>
      </w:r>
      <w:r>
        <w:t xml:space="preserve"> when no sheet is marked as the target, which used to be possible.</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6.7</w:t>
      </w:r>
      <w:r>
        <w:rPr>
          <w:i/>
        </w:rPr>
        <w:t xml:space="preserve">    Importing the data</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dialog box has an option to exclude elements, not samples. If “exclude all” is clicked, the table does not update until the user clicks within the table. Removing Lead was tricky: typing No gave a checked box that became Yes.</w:t>
      </w:r>
    </w:p>
    <w:p>
      <w:pPr/>
      <w:r>
        <w:rPr>
          <w:b/>
        </w:rPr>
        <w:t xml:space="preserve">Response. </w:t>
      </w:r>
      <w:r>
        <w:t xml:space="preserve">The manual now describes what happens: after import, the constituent properties table opens, and samples are chosen separately in Settings → Include/Exclude Samples. The “Include all elements” box now updates the table at once (</w:t>
      </w:r>
      <w:r>
        <w:rPr>
          <w:rFonts w:ascii="Consolas" w:hAnsi="Consolas" w:cs="Consolas"/>
          <w:sz w:val="19"/>
        </w:rPr>
        <w:t xml:space="preserve">d7d8b92</w:t>
      </w:r>
      <w:r>
        <w:t xml:space="preserve">). The </w:t>
      </w:r>
      <w:r>
        <w:rPr>
          <w:i/>
        </w:rPr>
        <w:t xml:space="preserve">Include in analysis</w:t>
      </w:r>
      <w:r>
        <w:t xml:space="preserve"> column is now a single click on the box, with no editor to type into. That was fixed in the code review work.</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6.8</w:t>
      </w:r>
      <w:r>
        <w:rPr>
          <w:i/>
        </w:rPr>
        <w:t xml:space="preserve">    Importing the data</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It would be easier to read if the constituents appeared in the same order as in the xlsx file.</w:t>
      </w:r>
    </w:p>
    <w:p>
      <w:pPr/>
      <w:r>
        <w:rPr>
          <w:b/>
        </w:rPr>
        <w:t xml:space="preserve">Response. </w:t>
      </w:r>
      <w:r>
        <w:t xml:space="preserve">We considered this and decided to keep the alphabetical order. The project file stores the constituents by name, with no column order, so a saved project and every result use one order that does not depend on how a spreadsheet was arranged: two datasets with the same constituents give their results in the same order, which makes runs, projects and the command-line tool’s output directly comparable. With 24 constituents in the example data, an alphabetical list is also the quickest to search. Where the order carries meaning, the tools use their own: the stepwise DFA lists the constituents in the order they entered. Every result table can be exported to CSV and reordered in a spreadsheet if another order is wanted. The manual now states that constituents are listed alphabetically, and why.</w:t>
      </w:r>
    </w:p>
    <w:p>
      <w:pPr/>
      <w:r>
        <w:rPr>
          <w:i/>
        </w:rPr>
        <w:t xml:space="preserve">Status: </w:t>
      </w:r>
      <w:r>
        <w:t xml:space="preserve">Closed: alphabetical order kept.</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6.9</w:t>
      </w:r>
      <w:r>
        <w:rPr>
          <w:i/>
        </w:rPr>
        <w:t xml:space="preserve">    Importing the data</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These columns can only be edited if the constituent type has been designated as Isotope first; I suggest making this note in the manual. Please add a link to further explanation in Mathematical Basis. Both N15 and C13 ratios for the SampleData should be provided.</w:t>
      </w:r>
    </w:p>
    <w:p>
      <w:pPr/>
      <w:r>
        <w:rPr>
          <w:b/>
        </w:rPr>
        <w:t xml:space="preserve">Response. </w:t>
      </w:r>
      <w:r>
        <w:t xml:space="preserve">The manual now says to set the type first, and links to the stable isotope section. It also says that the base element must be included in the analysis. Both are now given in Section 2.1: N for N15 (ratio 0.003676) and TOC for C13 (ratio 0.011180, VPDB). TOC is the only carbon content measured, but it is also the organic matter constituent, and the program did not accept that as a base element. It now does. TOC is not used as a tracer. Fingerprinting uses it only to weight each source’s δ¹³C by its organic carbon content, with or without the size and organic matter correction (</w:t>
      </w:r>
      <w:r>
        <w:rPr>
          <w:rFonts w:ascii="Consolas" w:hAnsi="Consolas" w:cs="Consolas"/>
          <w:sz w:val="19"/>
        </w:rPr>
        <w:t xml:space="preserve">67cc62f</w:t>
      </w:r>
      <w:r>
        <w:t xml:space="preserve">). The test project had used Calcium, which was not chemically meaningful. The standard ratio cancels in the mixture’s δ value, so its exact value does not change the results.</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6.10</w:t>
      </w:r>
      <w:r>
        <w:rPr>
          <w:i/>
        </w:rPr>
        <w:t xml:space="preserve">    Importing the data</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 don’t see any values for C13; I assume the data is negative and the scale does not allow for negative values.</w:t>
      </w:r>
    </w:p>
    <w:p>
      <w:pPr/>
      <w:r>
        <w:rPr>
          <w:b/>
        </w:rPr>
        <w:t xml:space="preserve">Response. </w:t>
      </w:r>
      <w:r>
        <w:t xml:space="preserve">Correct. The data plot always used a logarithmic axis. It now uses a linear axis for a constituent with zero or negative values, and the manual says so.</w:t>
      </w:r>
    </w:p>
    <w:p>
      <w:pPr/>
      <w:r>
        <w:rPr>
          <w:i/>
        </w:rPr>
        <w:t xml:space="preserve">Status: </w:t>
      </w:r>
      <w:r>
        <w:t xml:space="preserve">Fixed (</w:t>
      </w:r>
      <w:r>
        <w:rPr>
          <w:rFonts w:ascii="Consolas" w:hAnsi="Consolas" w:cs="Consolas"/>
          <w:sz w:val="19"/>
        </w:rPr>
        <w:t xml:space="preserve">d7d8b92</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6.11</w:t>
      </w:r>
      <w:r>
        <w:rPr>
          <w:i/>
        </w:rPr>
        <w:t xml:space="preserve">    Choosing samples to be discarded</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This did not automatically appear for me; I had to go to Settings and select Include/Exclude Samples. Source groups appear in a drop-down menu, not tabs. I do not see red highlight; worth noting that outliers are not automatically removed. This statement should be moved up to where include/exclude is first mentioned.</w:t>
      </w:r>
    </w:p>
    <w:p>
      <w:pPr/>
      <w:r>
        <w:rPr>
          <w:b/>
        </w:rPr>
        <w:t xml:space="preserve">Response. </w:t>
      </w:r>
      <w:r>
        <w:t xml:space="preserve">The section now matches the program:</w:t>
      </w:r>
    </w:p>
    <w:p>
      <w:pPr>
        <w:pStyle w:val="ListBullet"/>
        <w:numPr>
          <w:ilvl w:val="0"/>
          <w:numId w:val="1"/>
        </w:numPr>
      </w:pPr>
      <w:r>
        <w:t xml:space="preserve">the dialog is opened from Settings;</w:t>
      </w:r>
    </w:p>
    <w:p>
      <w:pPr>
        <w:pStyle w:val="ListBullet"/>
        <w:numPr>
          <w:ilvl w:val="0"/>
          <w:numId w:val="1"/>
        </w:numPr>
      </w:pPr>
      <w:r>
        <w:t xml:space="preserve">groups are chosen from a drop-down list;</w:t>
      </w:r>
    </w:p>
    <w:p>
      <w:pPr>
        <w:pStyle w:val="ListBullet"/>
        <w:numPr>
          <w:ilvl w:val="0"/>
          <w:numId w:val="1"/>
        </w:numPr>
      </w:pPr>
      <w:r>
        <w:t xml:space="preserve">a sample is excluded by clicking its Include cell, explained where the dialog is first described;</w:t>
      </w:r>
    </w:p>
    <w:p>
      <w:pPr>
        <w:pStyle w:val="ListBullet"/>
        <w:numPr>
          <w:ilvl w:val="0"/>
          <w:numId w:val="1"/>
        </w:numPr>
      </w:pPr>
      <w:r>
        <w:t xml:space="preserve">flagged samples are not removed automatically.</w:t>
      </w:r>
    </w:p>
    <w:p>
      <w:pPr/>
      <w:r>
        <w:t xml:space="preserve">On the red highlight: before the code review fixes, the notes that mark an outlier were lost when the data were copied, so nothing could be red. With the current code, a sample is red only when one of its values is beyond the threshold. With the example data and a threshold of 3, no sample is, as the regenerated figure shows; the manual now says so.</w:t>
      </w:r>
    </w:p>
    <w:p>
      <w:pPr/>
      <w:r>
        <w:rPr>
          <w:i/>
        </w:rPr>
        <w:t xml:space="preserve">Status: </w:t>
      </w:r>
      <w:r>
        <w:t xml:space="preserve">Done.</w:t>
      </w:r>
    </w:p>
    <w:p>
      <w:pPr>
        <w:pStyle w:val="Heading1"/>
      </w:pPr>
      <w:r>
        <w:t xml:space="preserve">7.  Comments in the user’s manual: deterministic fingerprinting</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7.1</w:t>
      </w:r>
      <w:r>
        <w:rPr>
          <w:i/>
        </w:rPr>
        <w:t xml:space="preserve">    Outlier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Box–Cox requires positive data: how is C13 handled? It has λ=1 for all source groups. What if an element has both positive and negative values, as can occur with N15?</w:t>
      </w:r>
    </w:p>
    <w:p>
      <w:pPr/>
      <w:r>
        <w:rPr>
          <w:b/>
        </w:rPr>
        <w:t xml:space="preserve">Response. </w:t>
      </w:r>
      <w:r>
        <w:t xml:space="preserve">A constituent with any zero or negative value is not transformed, and its λ is shown as 1, which is why C13 shows 1. The program lists the constituents it left untransformed. For an element with mixed signs, such as N15, the same applies to every group in which a non-positive value occurs. This is now in Sections 3.1 and 6.1.1.</w:t>
      </w:r>
    </w:p>
    <w:p>
      <w:pPr/>
      <w:r>
        <w:rPr>
          <w:i/>
        </w:rPr>
        <w:t xml:space="preserve">Status: </w:t>
      </w:r>
      <w:r>
        <w:t xml:space="preserve">Documented.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7.2</w:t>
      </w:r>
      <w:r>
        <w:rPr>
          <w:i/>
        </w:rPr>
        <w:t xml:space="preserve">    Outlier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execution window is confusing: it looks like you are running the outlier test only on a single source group, but that is not the case. What is the purpose of the source group drop-down?</w:t>
      </w:r>
    </w:p>
    <w:p>
      <w:pPr/>
      <w:r>
        <w:rPr>
          <w:b/>
        </w:rPr>
        <w:t xml:space="preserve">Response. </w:t>
      </w:r>
      <w:r>
        <w:t xml:space="preserve">There are two outlier tests:</w:t>
      </w:r>
    </w:p>
    <w:p>
      <w:pPr>
        <w:pStyle w:val="ListBullet"/>
        <w:numPr>
          <w:ilvl w:val="0"/>
          <w:numId w:val="1"/>
        </w:numPr>
      </w:pPr>
      <w:r>
        <w:t xml:space="preserve">The one run when you open Include/Exclude Samples covers every group.</w:t>
      </w:r>
    </w:p>
    <w:p>
      <w:pPr>
        <w:pStyle w:val="ListBullet"/>
        <w:numPr>
          <w:ilvl w:val="0"/>
          <w:numId w:val="1"/>
        </w:numPr>
      </w:pPr>
      <w:r>
        <w:t xml:space="preserve">The tool in step 1 reports the deviations of the one group chosen in its form.</w:t>
      </w:r>
    </w:p>
    <w:p>
      <w:pPr/>
      <w:r>
        <w:t xml:space="preserve">The section now explains both.</w:t>
      </w:r>
    </w:p>
    <w:p>
      <w:pPr/>
      <w:r>
        <w:rPr>
          <w:i/>
        </w:rPr>
        <w:t xml:space="preserve">Status: </w:t>
      </w:r>
      <w:r>
        <w:t xml:space="preserve">Documented.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7.3</w:t>
      </w:r>
      <w:r>
        <w:rPr>
          <w:i/>
        </w:rPr>
        <w:t xml:space="preserve">    Tools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I’m finding the organization of the Tools window difficult to navigate. A user new to fingerprinting will find this difficult. Consider ordering tools by typical execution order rather than alphabetically. (Also: the order of the descriptions should match the program; group the DFA tools; a Pre-Analysis Tools subheader would be worthwhile.)</w:t>
      </w:r>
    </w:p>
    <w:p>
      <w:pPr/>
      <w:r>
        <w:rPr>
          <w:b/>
        </w:rPr>
        <w:t xml:space="preserve">Response. </w:t>
      </w:r>
      <w:r>
        <w:t xml:space="preserve">Done in the program and the manual.</w:t>
      </w:r>
    </w:p>
    <w:p>
      <w:pPr>
        <w:pStyle w:val="ListBullet"/>
        <w:numPr>
          <w:ilvl w:val="0"/>
          <w:numId w:val="1"/>
        </w:numPr>
      </w:pPr>
      <w:r>
        <w:t xml:space="preserve">The menu was alphabetical because the program’s settings file format does not keep order. The menu now keeps the order written in the file.</w:t>
      </w:r>
    </w:p>
    <w:p>
      <w:pPr>
        <w:pStyle w:val="ListBullet"/>
        <w:numPr>
          <w:ilvl w:val="0"/>
          <w:numId w:val="1"/>
        </w:numPr>
      </w:pPr>
      <w:r>
        <w:t xml:space="preserve">Other Statistical Tools is grouped in workflow order: Data exploration (outliers, corrected profiles, correlation, distribution fitting, K–S tests, Box–Cox); Element selection (ANOVA, auto-select, discriminant power); Discriminant function analysis (all six DFA tools together); Uncertainty and verification.</w:t>
      </w:r>
    </w:p>
    <w:p>
      <w:pPr>
        <w:pStyle w:val="ListBullet"/>
        <w:numPr>
          <w:ilvl w:val="0"/>
          <w:numId w:val="1"/>
        </w:numPr>
      </w:pPr>
      <w:r>
        <w:t xml:space="preserve">A duplicate entry was removed.</w:t>
      </w:r>
    </w:p>
    <w:p>
      <w:pPr>
        <w:pStyle w:val="ListBullet"/>
        <w:numPr>
          <w:ilvl w:val="0"/>
          <w:numId w:val="1"/>
        </w:numPr>
      </w:pPr>
      <w:r>
        <w:t xml:space="preserve">Chapter 5 of the manual follows the same groups and order, with the program’s names.</w:t>
      </w:r>
    </w:p>
    <w:p>
      <w:pPr/>
      <w:r>
        <w:rPr>
          <w:i/>
        </w:rPr>
        <w:t xml:space="preserve">Status: </w:t>
      </w:r>
      <w:r>
        <w:t xml:space="preserve">Done (</w:t>
      </w:r>
      <w:r>
        <w:rPr>
          <w:rFonts w:ascii="Consolas" w:hAnsi="Consolas" w:cs="Consolas"/>
          <w:sz w:val="19"/>
        </w:rPr>
        <w:t xml:space="preserve">d7d8b92</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7.4</w:t>
      </w:r>
      <w:r>
        <w:rPr>
          <w:i/>
        </w:rPr>
        <w:t xml:space="preserve">    Organic matter and particle size correction</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Program closed when the plot box was clicked. Are the corrected values plotted anywhere? Some additional detail is needed: is size-corrected data used for the organic correction, or raw data for both? How do you select the regression option? What is “Correct based on size and organic matter” used for? Does this need to be done for each source group? Is there a way to visualize raw vs corrected data?</w:t>
      </w:r>
    </w:p>
    <w:p>
      <w:pPr/>
      <w:r>
        <w:rPr>
          <w:b/>
        </w:rPr>
        <w:t xml:space="preserve">Response. </w:t>
      </w:r>
      <w:r>
        <w:t xml:space="preserve">The crash is fixed (Section 1). The manual now explains, in Section 3.2:</w:t>
      </w:r>
    </w:p>
    <w:p>
      <w:pPr>
        <w:pStyle w:val="ListBullet"/>
        <w:numPr>
          <w:ilvl w:val="0"/>
          <w:numId w:val="1"/>
        </w:numPr>
      </w:pPr>
      <w:r>
        <w:t xml:space="preserve">When both are used, organic matter and particle size are the two variables of one multiple regression, fitted to the raw data; the correction applies both terms together, not one after the other.</w:t>
      </w:r>
    </w:p>
    <w:p>
      <w:pPr>
        <w:pStyle w:val="ListBullet"/>
        <w:numPr>
          <w:ilvl w:val="0"/>
          <w:numId w:val="1"/>
        </w:numPr>
      </w:pPr>
      <w:r>
        <w:t xml:space="preserve">The regression form is chosen in the </w:t>
      </w:r>
      <w:r>
        <w:rPr>
          <w:i/>
        </w:rPr>
        <w:t xml:space="preserve">Equation</w:t>
      </w:r>
      <w:r>
        <w:t xml:space="preserve"> list (Linear or Power).</w:t>
      </w:r>
    </w:p>
    <w:p>
      <w:pPr>
        <w:pStyle w:val="ListBullet"/>
        <w:numPr>
          <w:ilvl w:val="0"/>
          <w:numId w:val="1"/>
        </w:numPr>
      </w:pPr>
      <w:r>
        <w:t xml:space="preserve">One run of step 2 fits every source group.</w:t>
      </w:r>
    </w:p>
    <w:p>
      <w:pPr>
        <w:pStyle w:val="ListBullet"/>
        <w:numPr>
          <w:ilvl w:val="0"/>
          <w:numId w:val="1"/>
        </w:numPr>
      </w:pPr>
      <w:r>
        <w:t xml:space="preserve">The regression plot shows the measured values.</w:t>
      </w:r>
    </w:p>
    <w:p>
      <w:pPr>
        <w:pStyle w:val="ListBullet"/>
        <w:numPr>
          <w:ilvl w:val="0"/>
          <w:numId w:val="1"/>
        </w:numPr>
      </w:pPr>
      <w:r>
        <w:t xml:space="preserve">“Correct based on size and organic matter” fits nothing: it shows the corrected profiles for a chosen target sample, as a table or a chart. These can be compared with the raw values under Data, or exported.</w:t>
      </w:r>
    </w:p>
    <w:p>
      <w:pPr/>
      <w:r>
        <w:rPr>
          <w:i/>
        </w:rPr>
        <w:t xml:space="preserve">Status: </w:t>
      </w:r>
      <w:r>
        <w:t xml:space="preserve">Documented; crash 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7.5</w:t>
      </w:r>
      <w:r>
        <w:rPr>
          <w:i/>
        </w:rPr>
        <w:t xml:space="preserve">    Organic matter and particle size correction</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Recommend expanding the axis so that points are clearly visible. Nothing is highlighted in red for me (Figs. 2.4, 2.5). “2a-Corrected results” is not an option; unable to check this section.</w:t>
      </w:r>
    </w:p>
    <w:p>
      <w:pPr/>
      <w:r>
        <w:rPr>
          <w:b/>
        </w:rPr>
        <w:t xml:space="preserve">Response.</w:t>
      </w:r>
    </w:p>
    <w:p>
      <w:pPr>
        <w:pStyle w:val="ListBullet"/>
        <w:numPr>
          <w:ilvl w:val="0"/>
          <w:numId w:val="1"/>
        </w:numPr>
      </w:pPr>
      <w:r>
        <w:t xml:space="preserve">The regression plot’s axes now extend beyond the data.</w:t>
      </w:r>
    </w:p>
    <w:p>
      <w:pPr>
        <w:pStyle w:val="ListBullet"/>
        <w:numPr>
          <w:ilvl w:val="0"/>
          <w:numId w:val="1"/>
        </w:numPr>
      </w:pPr>
      <w:r>
        <w:t xml:space="preserve">The red p-values were lost by the same copy problem as the outlier flags; they show with the current code, as the regenerated figures show.</w:t>
      </w:r>
    </w:p>
    <w:p>
      <w:pPr>
        <w:pStyle w:val="ListBullet"/>
        <w:numPr>
          <w:ilvl w:val="0"/>
          <w:numId w:val="1"/>
        </w:numPr>
      </w:pPr>
      <w:r>
        <w:t xml:space="preserve">The menu path is corrected: Other Statistical Tools → Data exploration → Correct based on size and organic matter.</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7.6</w:t>
      </w:r>
      <w:r>
        <w:rPr>
          <w:i/>
        </w:rPr>
        <w:t xml:space="preserve">    Discriminant function analysis, step 4</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When selecting Box–Cox, Modify included elements, OM and Size for CTAIL1, I got an error. This appears to be due to over-corrections: size and organic corrections moved source values from positive to negative, which is an invalid result. Only able to run DFA with power transform selected, or with no corrections.</w:t>
      </w:r>
    </w:p>
    <w:p>
      <w:pPr/>
      <w:r>
        <w:rPr>
          <w:b/>
        </w:rPr>
        <w:t xml:space="preserve">Response. </w:t>
      </w:r>
      <w:r>
        <w:t xml:space="preserve">Your diagnosis is right. The error now names the element and group, and says that the imported values are positive and the negative values come from the correction. A note in Section 3.2 explains over-correction by the linear form and recommends the power form, or not correcting the elements named.</w:t>
      </w:r>
    </w:p>
    <w:p>
      <w:pPr/>
      <w:r>
        <w:rPr>
          <w:i/>
        </w:rPr>
        <w:t xml:space="preserve">Status: </w:t>
      </w:r>
      <w:r>
        <w:t xml:space="preserve">Message and documentation improved.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7.7</w:t>
      </w:r>
      <w:r>
        <w:rPr>
          <w:i/>
        </w:rPr>
        <w:t xml:space="preserve">    Bracketing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To test, I raised CTAIL1/Aluminum to 10000; the test correctly failed. “Value higher” — or lower? It would be nice to have a notes column for elements that failed the bracket test. I do not understand the note about re-running the bracket test for a new target sample. This does not look like bracket test results (Fig. 2.7).</w:t>
      </w:r>
    </w:p>
    <w:p>
      <w:pPr/>
      <w:r>
        <w:rPr>
          <w:b/>
        </w:rPr>
        <w:t xml:space="preserve">Response.</w:t>
      </w:r>
    </w:p>
    <w:p>
      <w:pPr>
        <w:pStyle w:val="ListBullet"/>
        <w:numPr>
          <w:ilvl w:val="0"/>
          <w:numId w:val="1"/>
        </w:numPr>
      </w:pPr>
      <w:r>
        <w:t xml:space="preserve">The text now reads “higher than in all the source samples, or lower than in all of them”.</w:t>
      </w:r>
    </w:p>
    <w:p>
      <w:pPr>
        <w:pStyle w:val="ListBullet"/>
        <w:numPr>
          <w:ilvl w:val="0"/>
          <w:numId w:val="1"/>
        </w:numPr>
      </w:pPr>
      <w:r>
        <w:t xml:space="preserve">The note is rewritten. The bracket test covers every target sample at once, but the constituent selection is one list for the project, so when you move to another target sample you adjust the list using that sample’s column. For the batch tools, exclude every element that fails for any sample.</w:t>
      </w:r>
    </w:p>
    <w:p>
      <w:pPr>
        <w:pStyle w:val="ListBullet"/>
        <w:numPr>
          <w:ilvl w:val="0"/>
          <w:numId w:val="1"/>
        </w:numPr>
      </w:pPr>
      <w:r>
        <w:t xml:space="preserve">The bracketing figure (now Fig. 3.7) was the wrong image; it is replaced by the bracket results table.</w:t>
      </w:r>
    </w:p>
    <w:p>
      <w:pPr>
        <w:pStyle w:val="ListBullet"/>
        <w:numPr>
          <w:ilvl w:val="0"/>
          <w:numId w:val="1"/>
        </w:numPr>
      </w:pPr>
      <w:r>
        <w:t xml:space="preserve">Thank you for the suggestion: the constituent properties table now has a sixth, free-text </w:t>
      </w:r>
      <w:r>
        <w:rPr>
          <w:i/>
        </w:rPr>
        <w:t xml:space="preserve">Notes</w:t>
      </w:r>
      <w:r>
        <w:t xml:space="preserve"> column. Double-click a cell to record, for example, why a constituent was excluded; the notes are saved with the project (Section 2.1 of the manual).</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7.8</w:t>
      </w:r>
      <w:r>
        <w:rPr>
          <w:i/>
        </w:rPr>
        <w:t xml:space="preserve">    Multi-way discriminant function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benefits of multi-way DFA … However, it is very sensitive to multicollinearity and typically overfits if the number of variables \gg the number of samples. Given the structure of the typical sediment fingerprinting input data, I think forward stepwise DFA would offer a better solution. Is data tested/transformed for multivariate normality?</w:t>
      </w:r>
    </w:p>
    <w:p>
      <w:pPr/>
      <w:r>
        <w:rPr>
          <w:b/>
        </w:rPr>
        <w:t xml:space="preserve">Response. </w:t>
      </w:r>
      <w:r>
        <w:t xml:space="preserve">I agree, and step 4 is forward stepwise DFA. It adds one constituent at a time, each the one that most improves the separation, and selects those up to the smallest \chi² p-value. The tool’s description said “between the two source groups”, which was wrong. It now describes forward stepwise selection among all groups.</w:t>
      </w:r>
    </w:p>
    <w:p>
      <w:pPr/>
      <w:r>
        <w:t xml:space="preserve">The manual now has a paragraph “Stepwise selection” (Section 3.4) giving your reasons: correlated tracers, overfitting, and conditioning. On normality: SedSAT3 does not test multivariate normality. Its Box–Cox option transforms each constituent towards normality before the DFA, and the K–S tools check constituents individually. Section 3.4 now says this.</w:t>
      </w:r>
    </w:p>
    <w:p>
      <w:pPr/>
      <w:r>
        <w:rPr>
          <w:i/>
        </w:rPr>
        <w:t xml:space="preserve">Status: </w:t>
      </w:r>
      <w:r>
        <w:t xml:space="preserve">Documented.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7.9</w:t>
      </w:r>
      <w:r>
        <w:rPr>
          <w:i/>
        </w:rPr>
        <w:t xml:space="preserve">    Multi-way discriminant function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Please explain the “Modify the included elements based on the results” option. Is DFA run based on the size and organic corrections from only one target sample? Each target sample has unique corrections and bracket results; each could have unique DFA results.</w:t>
      </w:r>
    </w:p>
    <w:p>
      <w:pPr/>
      <w:r>
        <w:rPr>
          <w:b/>
        </w:rPr>
        <w:t xml:space="preserve">Response. </w:t>
      </w:r>
      <w:r>
        <w:t xml:space="preserve">Both are now explained in Section 3.5. With the correction, the DFA uses the target sample chosen in the form, so the selection can differ between target samples; for another target sample, run step 4 again with that sample.</w:t>
      </w:r>
    </w:p>
    <w:p>
      <w:pPr/>
      <w:r>
        <w:rPr>
          <w:i/>
        </w:rPr>
        <w:t xml:space="preserve">Status: </w:t>
      </w:r>
      <w:r>
        <w:t xml:space="preserve">Documented.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7.10</w:t>
      </w:r>
      <w:r>
        <w:rPr>
          <w:i/>
        </w:rPr>
        <w:t xml:space="preserve">    Multi-way discriminant function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Why is the x axis labeled “Sample”? I did not understand the constituent order until I looked at Wilks’ lambda; perhaps put Wilks’ lambda first. No y-axis label on my DFA plots. My table gives p-values by element, not by source. Results in Figs. 2.9–2.11 are found under Other Statistical Tools; if these are the most relevant results they should appear in step 4.</w:t>
      </w:r>
    </w:p>
    <w:p>
      <w:pPr/>
      <w:r>
        <w:rPr>
          <w:b/>
        </w:rPr>
        <w:t xml:space="preserve">Response.</w:t>
      </w:r>
    </w:p>
    <w:p>
      <w:pPr>
        <w:pStyle w:val="ListBullet"/>
        <w:numPr>
          <w:ilvl w:val="0"/>
          <w:numId w:val="1"/>
        </w:numPr>
      </w:pPr>
      <w:r>
        <w:t xml:space="preserve">The x axis now reads “Constituents, in the order added”, and every plot has a y-axis title.</w:t>
      </w:r>
    </w:p>
    <w:p>
      <w:pPr>
        <w:pStyle w:val="ListBullet"/>
        <w:numPr>
          <w:ilvl w:val="0"/>
          <w:numId w:val="1"/>
        </w:numPr>
      </w:pPr>
      <w:r>
        <w:t xml:space="preserve">The manual explains that all panels list the constituents in the order added. I kept the panel order, because the \chi² p-value is the selection criterion; Wilks’ \Lambda always decreases.</w:t>
      </w:r>
    </w:p>
    <w:p>
      <w:pPr>
        <w:pStyle w:val="ListBullet"/>
        <w:numPr>
          <w:ilvl w:val="0"/>
          <w:numId w:val="1"/>
        </w:numPr>
      </w:pPr>
      <w:r>
        <w:t xml:space="preserve">You are right that the p-value table is per constituent. The per-group tables (Fig. 3.10) come from Discriminant function analysis (Multi-way), and the manual now says so.</w:t>
      </w:r>
    </w:p>
    <w:p>
      <w:pPr>
        <w:pStyle w:val="ListBullet"/>
        <w:numPr>
          <w:ilvl w:val="0"/>
          <w:numId w:val="1"/>
        </w:numPr>
      </w:pPr>
      <w:r>
        <w:t xml:space="preserve">As you suggested, step 4 now also shows the discriminant scores and eigenvectors of the selected constituents (panels 5 and 6).</w:t>
      </w:r>
    </w:p>
    <w:p>
      <w:pPr/>
      <w:r>
        <w:rPr>
          <w:i/>
        </w:rPr>
        <w:t xml:space="preserve">Status: </w:t>
      </w:r>
      <w:r>
        <w:t xml:space="preserve">Done (</w:t>
      </w:r>
      <w:r>
        <w:rPr>
          <w:rFonts w:ascii="Consolas" w:hAnsi="Consolas" w:cs="Consolas"/>
          <w:sz w:val="19"/>
        </w:rPr>
        <w:t xml:space="preserve">d7d8b92</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7.11</w:t>
      </w:r>
      <w:r>
        <w:rPr>
          <w:i/>
        </w:rPr>
        <w:t xml:space="preserve">    Multi-way discriminant function analysis, Fig. 2.10</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Figure needs updating, ellipses not present. What is the meaning of WB? Why do the colors change with each pairing? Please verify color-blind accessibility per USGS guidance. I see 2 WB_Bank and no Pasture.</w:t>
      </w:r>
    </w:p>
    <w:p>
      <w:pPr/>
      <w:r>
        <w:rPr>
          <w:b/>
        </w:rPr>
        <w:t xml:space="preserve">Response.</w:t>
      </w:r>
    </w:p>
    <w:p>
      <w:pPr>
        <w:pStyle w:val="ListBullet"/>
        <w:numPr>
          <w:ilvl w:val="0"/>
          <w:numId w:val="1"/>
        </w:numPr>
      </w:pPr>
      <w:r>
        <w:t xml:space="preserve">The colors were random, chosen again for each plot. All charts now use the Okabe–Ito color-blind-safe palette, and in the DFA plot each group keeps its color for every pair.</w:t>
      </w:r>
    </w:p>
    <w:p>
      <w:pPr>
        <w:pStyle w:val="ListBullet"/>
        <w:numPr>
          <w:ilvl w:val="0"/>
          <w:numId w:val="1"/>
        </w:numPr>
      </w:pPr>
      <w:r>
        <w:t xml:space="preserve">“WB_” was an internal prefix. The axes now read “Discriminant score, Bank vs. the rest”.</w:t>
      </w:r>
    </w:p>
    <w:p>
      <w:pPr>
        <w:pStyle w:val="ListBullet"/>
        <w:numPr>
          <w:ilvl w:val="0"/>
          <w:numId w:val="1"/>
        </w:numPr>
      </w:pPr>
      <w:r>
        <w:t xml:space="preserve">The window opened with the first group on both axes; it now starts with two different groups.</w:t>
      </w:r>
    </w:p>
    <w:p>
      <w:pPr>
        <w:pStyle w:val="ListBullet"/>
        <w:numPr>
          <w:ilvl w:val="0"/>
          <w:numId w:val="1"/>
        </w:numPr>
      </w:pPr>
      <w:r>
        <w:t xml:space="preserve">Fig. 3.11 is regenerated, with the ellipses.</w:t>
      </w:r>
    </w:p>
    <w:p>
      <w:pPr/>
      <w:r>
        <w:rPr>
          <w:b/>
          <w:color w:val="BE1E1E"/>
        </w:rPr>
        <w:t xml:space="preserve">[Cara: if USGS has its own color guidance for figures, please point me to it; I followed the Okabe–Ito palette.]</w:t>
      </w:r>
    </w:p>
    <w:p>
      <w:pPr/>
      <w:r>
        <w:rPr>
          <w:i/>
        </w:rPr>
        <w:t xml:space="preserve">Status: </w:t>
      </w:r>
      <w:r>
        <w:t xml:space="preserve">Fixed (</w:t>
      </w:r>
      <w:r>
        <w:rPr>
          <w:rFonts w:ascii="Consolas" w:hAnsi="Consolas" w:cs="Consolas"/>
          <w:sz w:val="19"/>
        </w:rPr>
        <w:t xml:space="preserve">d7d8b92</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7.12</w:t>
      </w:r>
      <w:r>
        <w:rPr>
          <w:i/>
        </w:rPr>
        <w:t xml:space="preserve">    Multi-way discriminant function analysis, Fig. 2.11</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A confusion matrix would be a clearer output than this table. The goal is to determine how well the tracers chosen can correctly assign sources, right?</w:t>
      </w:r>
    </w:p>
    <w:p>
      <w:pPr/>
      <w:r>
        <w:rPr>
          <w:b/>
        </w:rPr>
        <w:t xml:space="preserve">Response. </w:t>
      </w:r>
      <w:r>
        <w:t xml:space="preserve">Yes, and step 4 now has one: a seventh panel with the leave-one-out confusion matrix of the source samples for the selected constituents. It uses linear discriminant classification with equal priors, as in Sed_SAT 1.0. Each row is a true source group, each column the group assigned, and the last column the percentage classified correctly. I checked it against an independent calculation. In the example, most misclassifications are between Crop and Pasture. The manual describes it and how to read it (Section 3.5).</w:t>
      </w:r>
    </w:p>
    <w:p>
      <w:pPr/>
      <w:r>
        <w:t xml:space="preserve">Source Verification answers the same question with the fingerprinting itself, and the manual now relates the two.</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7.13</w:t>
      </w:r>
      <w:r>
        <w:rPr>
          <w:i/>
        </w:rPr>
        <w:t xml:space="preserve">    Fingerprinting</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Are the elements chosen by DFA the only ones used for fingerprinting, or are all elements used? Is any weighting applied based on DFA results? Attempted to run: program closed. Please add to the documentation that once the DFA step is run, the constituent table will be modified.</w:t>
      </w:r>
    </w:p>
    <w:p>
      <w:pPr/>
      <w:r>
        <w:rPr>
          <w:b/>
        </w:rPr>
        <w:t xml:space="preserve">Response. </w:t>
      </w:r>
      <w:r>
        <w:t xml:space="preserve">Fingerprinting uses exactly the constituents marked as included, with equal weight; the DFA weights are not used. Sections 3.5 and 3.6 now say so, with the note about the table being modified. The crash is fixed (Section 1).</w:t>
      </w:r>
    </w:p>
    <w:p>
      <w:pPr/>
      <w:r>
        <w:rPr>
          <w:i/>
        </w:rPr>
        <w:t xml:space="preserve">Status: </w:t>
      </w:r>
      <w:r>
        <w:t xml:space="preserve">Documented; crash 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7.14</w:t>
      </w:r>
      <w:r>
        <w:rPr>
          <w:i/>
        </w:rPr>
        <w:t xml:space="preserve">    Fingerprinting (Batch)</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If all samples receive the same corrections, which target sample should be used? Specifically, what is used for e_{i,t}? Corrections are run for all target samples, but DFA and Bayesian steps require selection of a target sample.</w:t>
      </w:r>
    </w:p>
    <w:p>
      <w:pPr/>
      <w:r>
        <w:rPr>
          <w:b/>
        </w:rPr>
        <w:t xml:space="preserve">Response. </w:t>
      </w:r>
      <w:r>
        <w:t xml:space="preserve">The batch tools correct for each target sample separately: e_{i,t} is the organic matter content and particle size of the target sample being analyzed. What is shared is the constituent and sample selection, and that was made in the earlier steps with one target sample. The note in Section 3.7 (repeated for the Bayesian batch) now explains this. It suggests checking the selection with target samples from both ends of the organic matter and size range.</w:t>
      </w:r>
    </w:p>
    <w:p>
      <w:pPr/>
      <w:r>
        <w:rPr>
          <w:i/>
        </w:rPr>
        <w:t xml:space="preserve">Status: </w:t>
      </w:r>
      <w:r>
        <w:t xml:space="preserve">Documented.</w:t>
      </w:r>
    </w:p>
    <w:p>
      <w:pPr>
        <w:pStyle w:val="Heading1"/>
      </w:pPr>
      <w:r>
        <w:t xml:space="preserve">8.  Comments in the user’s manual: Bayesian fingerprinting</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8.1</w:t>
      </w:r>
      <w:r>
        <w:rPr>
          <w:i/>
        </w:rPr>
        <w:t xml:space="preserve">    Bayesian Chemical Mass Balance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8 chains is the default; is that generally recommended? 100,000 and 20,000 should be the defaults. The x-axis is labeled sample number, but the tick marks are decimals. Using the current defaults the plot looks nothing like this: samples appear random, no convergence.</w:t>
      </w:r>
    </w:p>
    <w:p>
      <w:pPr/>
      <w:r>
        <w:rPr>
          <w:b/>
        </w:rPr>
        <w:t xml:space="preserve">Response.</w:t>
      </w:r>
    </w:p>
    <w:p>
      <w:pPr>
        <w:pStyle w:val="ListBullet"/>
        <w:numPr>
          <w:ilvl w:val="0"/>
          <w:numId w:val="1"/>
        </w:numPr>
      </w:pPr>
      <w:r>
        <w:t xml:space="preserve">The defaults are now 100,000 samples and 20,000 burn-in. In the example, the chains no longer look random: they settle by about 15,000 to 20,000 samples (regenerated Fig. 4.2).</w:t>
      </w:r>
    </w:p>
    <w:p>
      <w:pPr>
        <w:pStyle w:val="ListBullet"/>
        <w:numPr>
          <w:ilvl w:val="0"/>
          <w:numId w:val="1"/>
        </w:numPr>
      </w:pPr>
      <w:r>
        <w:t xml:space="preserve">The ticks are whole numbers.</w:t>
      </w:r>
    </w:p>
    <w:p>
      <w:pPr>
        <w:pStyle w:val="ListBullet"/>
        <w:numPr>
          <w:ilvl w:val="0"/>
          <w:numId w:val="1"/>
        </w:numPr>
      </w:pPr>
      <w:r>
        <w:t xml:space="preserve">The manual explains the number of chains (one per processor core; more chains help judge convergence) and how to recognize convergence, and that too few samples look like scattered noise. The burn-in guidance is now consistent (20%).</w:t>
      </w:r>
    </w:p>
    <w:p>
      <w:pPr>
        <w:pStyle w:val="ListBullet"/>
        <w:numPr>
          <w:ilvl w:val="0"/>
          <w:numId w:val="1"/>
        </w:numPr>
      </w:pPr>
      <w:r>
        <w:t xml:space="preserve">The results now include two convergence diagnostics for every parameter: split \hat{R} and the effective sample size (Vehtari and others, 2021), shown in red when beyond the recommended values (1.01 and 400). They are also written as files by the batch.</w:t>
      </w:r>
    </w:p>
    <w:p>
      <w:pPr/>
      <w:r>
        <w:t xml:space="preserve">These diagnostics showed that your observation went further than the defaults. With independent steps for each parameter, the sampler mixed so slowly that, for the example, the contributions had \hat{R} up to 1.11 and 50 to 140 effective samples, and a run four times longer did not improve them.</w:t>
      </w:r>
    </w:p>
    <w:p>
      <w:pPr/>
      <w:r>
        <w:t xml:space="preserve">The sampler now uses a correlated proposal by default (adaptive Metropolis, ported from OpenHydroQual). It learns the correlations between the parameters from the samples after the burn-in and steps along them. For the example it gives several times the effective sample size. With 400,000 samples and </w:t>
      </w:r>
      <w:r>
        <w:rPr>
          <w:i/>
        </w:rPr>
        <w:t xml:space="preserve">Dissolve Chains</w:t>
      </w:r>
      <w:r>
        <w:t xml:space="preserve"> unchecked, every parameter meets both criteria (\hat{R} \le 1.017, at least 428 effective samples). Because </w:t>
      </w:r>
      <w:r>
        <w:rPr>
          <w:i/>
        </w:rPr>
        <w:t xml:space="preserve">Dissolve Chains</w:t>
      </w:r>
      <w:r>
        <w:t xml:space="preserve"> made the worst-mixing parameters worse in every case, it is now unchecked by default. The manual gives the comparison (Section 4.1.1, Table 4.1) and the advice for final results.</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8.2</w:t>
      </w:r>
      <w:r>
        <w:rPr>
          <w:i/>
        </w:rPr>
        <w:t xml:space="preserve">    Bayesian Chemical Mass Balance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dashed lines from my run are far from the middle of the distribution, and in one element not on the graph at all. Please give guidance on interpretation. Add a figure for the fifth panel.</w:t>
      </w:r>
    </w:p>
    <w:p>
      <w:pPr/>
      <w:r>
        <w:rPr>
          <w:b/>
        </w:rPr>
        <w:t xml:space="preserve">Response. </w:t>
      </w:r>
      <w:r>
        <w:t xml:space="preserve">A measured value outside the plotted range is now always shown, the axis extending to it. Section 4.1 now explains what a measured value in the tail means:</w:t>
      </w:r>
    </w:p>
    <w:p>
      <w:pPr>
        <w:pStyle w:val="ListBullet"/>
        <w:numPr>
          <w:ilvl w:val="0"/>
          <w:numId w:val="1"/>
        </w:numPr>
      </w:pPr>
      <w:r>
        <w:t xml:space="preserve">a non-conservative tracer;</w:t>
      </w:r>
    </w:p>
    <w:p>
      <w:pPr>
        <w:pStyle w:val="ListBullet"/>
        <w:numPr>
          <w:ilvl w:val="0"/>
          <w:numId w:val="1"/>
        </w:numPr>
      </w:pPr>
      <w:r>
        <w:t xml:space="preserve">a missing source;</w:t>
      </w:r>
    </w:p>
    <w:p>
      <w:pPr>
        <w:pStyle w:val="ListBullet"/>
        <w:numPr>
          <w:ilvl w:val="0"/>
          <w:numId w:val="1"/>
        </w:numPr>
      </w:pPr>
      <w:r>
        <w:t xml:space="preserve">an unsuitable correction;</w:t>
      </w:r>
    </w:p>
    <w:p>
      <w:pPr>
        <w:pStyle w:val="ListBullet"/>
        <w:numPr>
          <w:ilvl w:val="0"/>
          <w:numId w:val="1"/>
        </w:numPr>
      </w:pPr>
      <w:r>
        <w:t xml:space="preserve">a tracer that (nearly) failed the bracket test.</w:t>
      </w:r>
    </w:p>
    <w:p>
      <w:pPr/>
      <w:r>
        <w:t xml:space="preserve">It also says what to do. Fig. 4.6 shows the fifth panel.</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8.3</w:t>
      </w:r>
      <w:r>
        <w:rPr>
          <w:i/>
        </w:rPr>
        <w:t xml:space="preserve">    Bayesian Chemical Mass Balance Analysis (Batch)</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Add that the folders will be placed in the directory in which the project was saved. I see 7 empty txt files; unable to verify content.</w:t>
      </w:r>
    </w:p>
    <w:p>
      <w:pPr/>
      <w:r>
        <w:rPr>
          <w:b/>
        </w:rPr>
        <w:t xml:space="preserve">Response. </w:t>
      </w:r>
      <w:r>
        <w:t xml:space="preserve">The manual now says where the folders go. They go to the working folder: the folder of the project last opened or saved, or of the Excel file before the project is saved. It advises saving the project first. With the current code the seven files have content; I ran a batch on the example data and checked each. The file names in the manual now match the program (</w:t>
      </w:r>
      <w:r>
        <w:rPr>
          <w:rFonts w:ascii="Consolas" w:hAnsi="Consolas" w:cs="Consolas"/>
          <w:sz w:val="19"/>
        </w:rPr>
        <w:t xml:space="preserve">1_MCMC samples.txt</w:t>
      </w:r>
      <w:r>
        <w:t xml:space="preserve">, …).</w:t>
      </w:r>
    </w:p>
    <w:p>
      <w:pPr/>
      <w:r>
        <w:rPr>
          <w:i/>
        </w:rPr>
        <w:t xml:space="preserve">Status: </w:t>
      </w:r>
      <w:r>
        <w:t xml:space="preserve">Fixed; screenshots of the folder to retake (Section 5).</w:t>
      </w:r>
    </w:p>
    <w:p>
      <w:pPr>
        <w:pStyle w:val="Heading1"/>
      </w:pPr>
      <w:r>
        <w:t xml:space="preserve">9.  Comments in the user’s manual: other statistical tools</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9.1</w:t>
      </w:r>
      <w:r>
        <w:rPr>
          <w:i/>
        </w:rPr>
        <w:t xml:space="preserve">    Elements’ correlation matrix</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Figure needs updating, current format below.</w:t>
      </w:r>
    </w:p>
    <w:p>
      <w:pPr/>
      <w:r>
        <w:rPr>
          <w:b/>
        </w:rPr>
        <w:t xml:space="preserve">Response. </w:t>
      </w:r>
      <w:r>
        <w:t xml:space="preserve">Regenerated. The result window no longer prints the whole matrix as text; the table button shows it, with correlations beyond the threshold in red.</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9.2</w:t>
      </w:r>
      <w:r>
        <w:rPr>
          <w:i/>
        </w:rPr>
        <w:t xml:space="preserve">    Analysis of Variance</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This assumes no corrections are made. Once OM and Size are corrected, Cobalt is not listed as having low discriminating power; a discussion of this effect is warranted. Red text not present in my table. D50 should not be part of this analysis and should not be removed, possibly TOC as well.</w:t>
      </w:r>
    </w:p>
    <w:p>
      <w:pPr/>
      <w:r>
        <w:rPr>
          <w:b/>
        </w:rPr>
        <w:t xml:space="preserve">Response.</w:t>
      </w:r>
    </w:p>
    <w:p>
      <w:pPr>
        <w:pStyle w:val="ListBullet"/>
        <w:numPr>
          <w:ilvl w:val="0"/>
          <w:numId w:val="1"/>
        </w:numPr>
      </w:pPr>
      <w:r>
        <w:t xml:space="preserve">I confirmed your observation: with the power correction for CTAIL1, Cobalt’s p-value falls from 0.12 to about 10⁻⁹. A note now cautions against removing tracers without evaluating them on the data used for fingerprinting.</w:t>
      </w:r>
    </w:p>
    <w:p>
      <w:pPr>
        <w:pStyle w:val="ListBullet"/>
        <w:numPr>
          <w:ilvl w:val="0"/>
          <w:numId w:val="1"/>
        </w:numPr>
      </w:pPr>
      <w:r>
        <w:t xml:space="preserve">The red text was the copy problem described above.</w:t>
      </w:r>
    </w:p>
    <w:p>
      <w:pPr>
        <w:pStyle w:val="ListBullet"/>
        <w:numPr>
          <w:ilvl w:val="0"/>
          <w:numId w:val="1"/>
        </w:numPr>
      </w:pPr>
      <w:r>
        <w:t xml:space="preserve">D50 and TOC are no longer analyzed by ANOVA, or by any tool that tests or selects tracers (</w:t>
      </w:r>
      <w:r>
        <w:rPr>
          <w:rFonts w:ascii="Consolas" w:hAnsi="Consolas" w:cs="Consolas"/>
          <w:sz w:val="19"/>
        </w:rPr>
        <w:t xml:space="preserve">d7d8b92</w:t>
      </w:r>
      <w:r>
        <w:t xml:space="preserve">).</w:t>
      </w:r>
    </w:p>
    <w:p>
      <w:pPr/>
      <w:r>
        <w:rPr>
          <w:i/>
        </w:rPr>
        <w:t xml:space="preserve">Status: </w:t>
      </w:r>
      <w:r>
        <w:t xml:space="preserve">Fixed and documented.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9.3</w:t>
      </w:r>
      <w:r>
        <w:rPr>
          <w:i/>
        </w:rPr>
        <w:t xml:space="preserve">    Auto-select elements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Colors repeated in graph: Bank and Crop identical to Forest and Pasture. D50 should not be part of this analysis; if the user checked Modify the included elements, they would lose their size data.</w:t>
      </w:r>
    </w:p>
    <w:p>
      <w:pPr/>
      <w:r>
        <w:rPr>
          <w:b/>
        </w:rPr>
        <w:t xml:space="preserve">Response. </w:t>
      </w:r>
      <w:r>
        <w:t xml:space="preserve">The palette now has eight distinct colors, and each pair keeps its color. D50 and TOC are never tested or selected, and the </w:t>
      </w:r>
      <w:r>
        <w:rPr>
          <w:i/>
        </w:rPr>
        <w:t xml:space="preserve">Modify</w:t>
      </w:r>
      <w:r>
        <w:t xml:space="preserve"> option no longer changes them. Your scenario (losing the size data) can no longer happen.</w:t>
      </w:r>
    </w:p>
    <w:p>
      <w:pPr/>
      <w:r>
        <w:rPr>
          <w:i/>
        </w:rPr>
        <w:t xml:space="preserve">Status: </w:t>
      </w:r>
      <w:r>
        <w:t xml:space="preserve">Fixed (</w:t>
      </w:r>
      <w:r>
        <w:rPr>
          <w:rFonts w:ascii="Consolas" w:hAnsi="Consolas" w:cs="Consolas"/>
          <w:sz w:val="19"/>
        </w:rPr>
        <w:t xml:space="preserve">d7d8b92</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9.4</w:t>
      </w:r>
      <w:r>
        <w:rPr>
          <w:i/>
        </w:rPr>
        <w:t xml:space="preserve">    Two-way DFA</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This is not on the list as “Two-Way”; I assume this is one vs. one? x-axis label is “Sample”; same on other plots. F-test p value plot has no y axis label or tick marks. Even when I uncheck “Use only selected elements” I only see 8 elements: running step 4 permanently altered my elements; there should be a note in the manual and the program. It would be good to group these with the stepwise DFA.</w:t>
      </w:r>
    </w:p>
    <w:p>
      <w:pPr/>
      <w:r>
        <w:rPr>
          <w:b/>
        </w:rPr>
        <w:t xml:space="preserve">Response.</w:t>
      </w:r>
    </w:p>
    <w:p>
      <w:pPr>
        <w:pStyle w:val="ListBullet"/>
        <w:numPr>
          <w:ilvl w:val="0"/>
          <w:numId w:val="1"/>
        </w:numPr>
      </w:pPr>
      <w:r>
        <w:t xml:space="preserve">The sections now use the program’s names: one vs. one, multi-way, and one vs. the rest. They are grouped with the stepwise versions, in the program and the manual (Section 5.3).</w:t>
      </w:r>
    </w:p>
    <w:p>
      <w:pPr>
        <w:pStyle w:val="ListBullet"/>
        <w:numPr>
          <w:ilvl w:val="0"/>
          <w:numId w:val="1"/>
        </w:numPr>
      </w:pPr>
      <w:r>
        <w:t xml:space="preserve">The axis labels and the missing y axis are fixed (Section 4 of this letter).</w:t>
      </w:r>
    </w:p>
    <w:p>
      <w:pPr>
        <w:pStyle w:val="ListBullet"/>
        <w:numPr>
          <w:ilvl w:val="0"/>
          <w:numId w:val="1"/>
        </w:numPr>
      </w:pPr>
      <w:r>
        <w:t xml:space="preserve">The note about step 4 is in the program and the manual.</w:t>
      </w:r>
    </w:p>
    <w:p>
      <w:pPr>
        <w:pStyle w:val="ListBullet"/>
        <w:numPr>
          <w:ilvl w:val="0"/>
          <w:numId w:val="1"/>
        </w:numPr>
      </w:pPr>
      <w:r>
        <w:t xml:space="preserve">Unchecking “Use only selected elements” did not show the other elements because step 4 had already excluded them.</w:t>
      </w:r>
    </w:p>
    <w:p>
      <w:pPr/>
      <w:r>
        <w:rPr>
          <w:i/>
        </w:rPr>
        <w:t xml:space="preserve">Status: </w:t>
      </w:r>
      <w:r>
        <w:t xml:space="preserve">Done.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9.5</w:t>
      </w:r>
      <w:r>
        <w:rPr>
          <w:i/>
        </w:rPr>
        <w:t xml:space="preserve">    One vs. the rest DFA</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weight vector: can this be explained more? Is it meant to be in the results?</w:t>
      </w:r>
    </w:p>
    <w:p>
      <w:pPr/>
      <w:r>
        <w:rPr>
          <w:b/>
        </w:rPr>
        <w:t xml:space="preserve">Response. </w:t>
      </w:r>
      <w:r>
        <w:t xml:space="preserve">Yes: the </w:t>
      </w:r>
      <w:r>
        <w:rPr>
          <w:i/>
        </w:rPr>
        <w:t xml:space="preserve">Eigen vector</w:t>
      </w:r>
      <w:r>
        <w:t xml:space="preserve"> panel shows it. Sections 3.4 and 5.3.3 now explain that each sample’s discriminant score is the weighted sum of its constituent values, and how to read the weights.</w:t>
      </w:r>
    </w:p>
    <w:p>
      <w:pPr/>
      <w:r>
        <w:rPr>
          <w:i/>
        </w:rPr>
        <w:t xml:space="preserve">Status: </w:t>
      </w:r>
      <w:r>
        <w:t xml:space="preserve">Documented.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9.6</w:t>
      </w:r>
      <w:r>
        <w:rPr>
          <w:i/>
        </w:rPr>
        <w:t xml:space="preserve">    Distribution fitting</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This step did not run (all settings). Key shows observed and normal as the same color; make the observed points black or another unused color.</w:t>
      </w:r>
    </w:p>
    <w:p>
      <w:pPr/>
      <w:r>
        <w:rPr>
          <w:b/>
        </w:rPr>
        <w:t xml:space="preserve">Response. </w:t>
      </w:r>
      <w:r>
        <w:t xml:space="preserve">The crash is fixed (Section 1). The samples are now black points, distinct from both fitted curves.</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9.7</w:t>
      </w:r>
      <w:r>
        <w:rPr>
          <w:i/>
        </w:rPr>
        <w:t xml:space="preserve">    Elements’ Discriminant Power (Multi-way)</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In program “multiple-way”. Program closed when running this step. Can additional info be given as to why “include target samples” is an option?</w:t>
      </w:r>
    </w:p>
    <w:p>
      <w:pPr/>
      <w:r>
        <w:rPr>
          <w:b/>
        </w:rPr>
        <w:t xml:space="preserve">Response.</w:t>
      </w:r>
    </w:p>
    <w:p>
      <w:pPr>
        <w:pStyle w:val="ListBullet"/>
        <w:numPr>
          <w:ilvl w:val="0"/>
          <w:numId w:val="1"/>
        </w:numPr>
      </w:pPr>
      <w:r>
        <w:t xml:space="preserve">The program now says “Multi-way”, as the manual does.</w:t>
      </w:r>
    </w:p>
    <w:p>
      <w:pPr>
        <w:pStyle w:val="ListBullet"/>
        <w:numPr>
          <w:ilvl w:val="0"/>
          <w:numId w:val="1"/>
        </w:numPr>
      </w:pPr>
      <w:r>
        <w:t xml:space="preserve">The crash is fixed (Section 1).</w:t>
      </w:r>
    </w:p>
    <w:p>
      <w:pPr>
        <w:pStyle w:val="ListBullet"/>
        <w:numPr>
          <w:ilvl w:val="0"/>
          <w:numId w:val="1"/>
        </w:numPr>
      </w:pPr>
      <w:r>
        <w:t xml:space="preserve">The manual now explains the target option. It adds the target samples as another group, which shows the constituents that make the targets unlike a source. A constituent that separates the targets from every source is a warning, similar to a failed bracket test.</w:t>
      </w:r>
    </w:p>
    <w:p>
      <w:pPr/>
      <w:r>
        <w:rPr>
          <w:i/>
        </w:rPr>
        <w:t xml:space="preserve">Status: </w:t>
      </w:r>
      <w:r>
        <w:t xml:space="preserve">Fixed and documented.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9.8</w:t>
      </w:r>
      <w:r>
        <w:rPr>
          <w:i/>
        </w:rPr>
        <w:t xml:space="preserve">    Error Analysis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Program closed (all settings). Why is there a black box and a green box in the key?</w:t>
      </w:r>
    </w:p>
    <w:p>
      <w:pPr/>
      <w:r>
        <w:rPr>
          <w:b/>
        </w:rPr>
        <w:t xml:space="preserve">Response.</w:t>
      </w:r>
    </w:p>
    <w:p>
      <w:pPr>
        <w:pStyle w:val="ListBullet"/>
        <w:numPr>
          <w:ilvl w:val="0"/>
          <w:numId w:val="1"/>
        </w:numPr>
      </w:pPr>
      <w:r>
        <w:t xml:space="preserve">The crash is fixed (Section 1).</w:t>
      </w:r>
    </w:p>
    <w:p>
      <w:pPr>
        <w:pStyle w:val="ListBullet"/>
        <w:numPr>
          <w:ilvl w:val="0"/>
          <w:numId w:val="1"/>
        </w:numPr>
      </w:pPr>
      <w:r>
        <w:t xml:space="preserve">The two keys were the outline and the shaded area of the same distribution. The chart now has one key, named after the variable.</w:t>
      </w:r>
    </w:p>
    <w:p>
      <w:pPr>
        <w:pStyle w:val="ListBullet"/>
        <w:numPr>
          <w:ilvl w:val="0"/>
          <w:numId w:val="1"/>
        </w:numPr>
      </w:pPr>
      <w:r>
        <w:t xml:space="preserve">The distribution panel now uses all realizations.</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9.9</w:t>
      </w:r>
      <w:r>
        <w:rPr>
          <w:i/>
        </w:rPr>
        <w:t xml:space="preserve">    Kolmogorov–Smirnov tests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These colors are hard to distinguish. When running lognormal for C13, observed does not appear; I assume because of negatives? X axis label should be element, constituent, or tracer, not sample.</w:t>
      </w:r>
    </w:p>
    <w:p>
      <w:pPr/>
      <w:r>
        <w:rPr>
          <w:b/>
        </w:rPr>
        <w:t xml:space="preserve">Response.</w:t>
      </w:r>
    </w:p>
    <w:p>
      <w:pPr>
        <w:pStyle w:val="ListBullet"/>
        <w:numPr>
          <w:ilvl w:val="0"/>
          <w:numId w:val="1"/>
        </w:numPr>
      </w:pPr>
      <w:r>
        <w:t xml:space="preserve">The colors come from the new palette.</w:t>
      </w:r>
    </w:p>
    <w:p>
      <w:pPr>
        <w:pStyle w:val="ListBullet"/>
        <w:numPr>
          <w:ilvl w:val="0"/>
          <w:numId w:val="1"/>
        </w:numPr>
      </w:pPr>
      <w:r>
        <w:t xml:space="preserve">A log-normal comparison of a constituent with non-positive values now stops with a message instead of drawing nothing.</w:t>
      </w:r>
    </w:p>
    <w:p>
      <w:pPr>
        <w:pStyle w:val="ListBullet"/>
        <w:numPr>
          <w:ilvl w:val="0"/>
          <w:numId w:val="1"/>
        </w:numPr>
      </w:pPr>
      <w:r>
        <w:t xml:space="preserve">The axis reads “Constituent”.</w:t>
      </w:r>
    </w:p>
    <w:p>
      <w:pPr/>
      <w:r>
        <w:rPr>
          <w:i/>
        </w:rPr>
        <w:t xml:space="preserve">Status: </w:t>
      </w:r>
      <w:r>
        <w:t xml:space="preserve">Fixed (</w:t>
      </w:r>
      <w:r>
        <w:rPr>
          <w:rFonts w:ascii="Consolas" w:hAnsi="Consolas" w:cs="Consolas"/>
          <w:sz w:val="19"/>
        </w:rPr>
        <w:t xml:space="preserve">d7d8b92</w:t>
      </w:r>
      <w:r>
        <w:t xml:space="preserve">, </w:t>
      </w:r>
      <w:r>
        <w:rPr>
          <w:rFonts w:ascii="Consolas" w:hAnsi="Consolas" w:cs="Consolas"/>
          <w:sz w:val="19"/>
        </w:rPr>
        <w:t xml:space="preserve">ae2e4d5</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9.10</w:t>
      </w:r>
      <w:r>
        <w:rPr>
          <w:i/>
        </w:rPr>
        <w:t xml:space="preserve">    Optimal Box-Cox parameters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X axis label should be changed. A zero line for the y-axis would make this plot easier to read.</w:t>
      </w:r>
    </w:p>
    <w:p>
      <w:pPr/>
      <w:r>
        <w:rPr>
          <w:b/>
        </w:rPr>
        <w:t xml:space="preserve">Response. </w:t>
      </w:r>
      <w:r>
        <w:t xml:space="preserve">Both done.</w:t>
      </w:r>
    </w:p>
    <w:p>
      <w:pPr/>
      <w:r>
        <w:rPr>
          <w:i/>
        </w:rPr>
        <w:t xml:space="preserve">Status: </w:t>
      </w:r>
      <w:r>
        <w:t xml:space="preserve">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9.11</w:t>
      </w:r>
      <w:r>
        <w:rPr>
          <w:i/>
        </w:rPr>
        <w:t xml:space="preserve">    Source Verification</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Program closed (all options for Bank). Which OM/size correction will be used, for which target sample?</w:t>
      </w:r>
    </w:p>
    <w:p>
      <w:pPr/>
      <w:r>
        <w:rPr>
          <w:b/>
        </w:rPr>
        <w:t xml:space="preserve">Response. </w:t>
      </w:r>
      <w:r>
        <w:t xml:space="preserve">The crash is fixed (Section 1). With the correction, each source sample being tested is treated as the target, so the sources are corrected to that sample’s own organic matter content and particle size. The manual now says so.</w:t>
      </w:r>
    </w:p>
    <w:p>
      <w:pPr/>
      <w:r>
        <w:rPr>
          <w:i/>
        </w:rPr>
        <w:t xml:space="preserve">Status: </w:t>
      </w:r>
      <w:r>
        <w:t xml:space="preserve">Fixed and documented.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9.12</w:t>
      </w:r>
      <w:r>
        <w:rPr>
          <w:i/>
        </w:rPr>
        <w:t xml:space="preserve">    Genetic Algorithm estimation</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 do not see this option. I do not see any blue (modeled) in the modeled vs observed plot.</w:t>
      </w:r>
    </w:p>
    <w:p>
      <w:pPr/>
      <w:r>
        <w:rPr>
          <w:b/>
        </w:rPr>
        <w:t xml:space="preserve">Response. </w:t>
      </w:r>
      <w:r>
        <w:t xml:space="preserve">The genetic algorithm is not part of this release: Levenberg–Marquardt solves the same problem more efficiently, and the GA is only in an optional build. Its section is therefore removed from the manual. On the hidden modeled points: in all modeled-vs-observed plots, the later series is now drawn smaller, so the modeled value shows as a ring around the observed one where they agree.</w:t>
      </w:r>
    </w:p>
    <w:p>
      <w:pPr/>
      <w:r>
        <w:rPr>
          <w:i/>
        </w:rPr>
        <w:t xml:space="preserve">Status: </w:t>
      </w:r>
      <w:r>
        <w:t xml:space="preserve">Section removed; plot fixed.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9.13</w:t>
      </w:r>
      <w:r>
        <w:rPr>
          <w:i/>
        </w:rPr>
        <w:t xml:space="preserve">    Mathematical Basis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Stable isotopes: how are negatives treated/resolved? N15 can span positive and negative space. Some kind of ending or summary would be good; a header for References is necessary.</w:t>
      </w:r>
    </w:p>
    <w:p>
      <w:pPr/>
      <w:r>
        <w:rPr>
          <w:b/>
        </w:rPr>
        <w:t xml:space="preserve">Response. </w:t>
      </w:r>
      <w:r>
        <w:t xml:space="preserve">Section 6.1.1 now explains how δ values of either sign are handled in the mass balance and the likelihood. The chapter ends with a summary, and the bibliography is titled “References”.</w:t>
      </w:r>
    </w:p>
    <w:p>
      <w:pPr/>
      <w:r>
        <w:rPr>
          <w:i/>
        </w:rPr>
        <w:t xml:space="preserve">Status: </w:t>
      </w:r>
      <w:r>
        <w:t xml:space="preserve">Done.</w:t>
      </w:r>
    </w:p>
    <w:p>
      <w:pPr>
        <w:pStyle w:val="Heading1"/>
      </w:pPr>
      <w:r>
        <w:t xml:space="preserve">10.  Items still open</w:t>
      </w:r>
    </w:p>
    <w:tbl>
      <w:tblPr>
        <w:tblW w:w="9360" w:type="dxa"/>
        <w:tblLayout w:type="fixed"/>
        <w:tblBorders>
          <w:top w:val="single" w:sz="8" w:color="444444"/>
          <w:bottom w:val="single" w:sz="8" w:color="444444"/>
          <w:insideH w:val="single" w:sz="2" w:color="CCCCCC"/>
        </w:tblBorders>
        <w:tblCellMar>
          <w:left w:w="80" w:type="dxa"/>
          <w:right w:w="80" w:type="dxa"/>
        </w:tblCellMar>
      </w:tblPr>
      <w:tblGrid>
        <w:gridCol w:w="3384"/>
        <w:gridCol w:w="936"/>
        <w:gridCol w:w="5040"/>
      </w:tblGrid>
      <w:tr>
        <w:trPr>
          <w:tblHeader/>
        </w:trPr>
        <w:tc>
          <w:tcPr>
            <w:tcW w:w="3384" w:type="dxa"/>
            <w:shd w:val="clear" w:color="auto" w:fill="E6EFEA"/>
          </w:tcPr>
          <w:p>
            <w:pPr>
              <w:pStyle w:val="TableText"/>
            </w:pPr>
            <w:r>
              <w:rPr>
                <w:b/>
              </w:rPr>
              <w:t xml:space="preserve">Item</w:t>
            </w:r>
          </w:p>
        </w:tc>
        <w:tc>
          <w:tcPr>
            <w:tcW w:w="936" w:type="dxa"/>
            <w:shd w:val="clear" w:color="auto" w:fill="E6EFEA"/>
          </w:tcPr>
          <w:p>
            <w:pPr>
              <w:pStyle w:val="TableText"/>
            </w:pPr>
            <w:r>
              <w:rPr>
                <w:b/>
              </w:rPr>
              <w:t xml:space="preserve">Who</w:t>
            </w:r>
          </w:p>
        </w:tc>
        <w:tc>
          <w:tcPr>
            <w:tcW w:w="5040" w:type="dxa"/>
            <w:shd w:val="clear" w:color="auto" w:fill="E6EFEA"/>
          </w:tcPr>
          <w:p>
            <w:pPr>
              <w:pStyle w:val="TableText"/>
            </w:pPr>
            <w:r>
              <w:rPr>
                <w:b/>
              </w:rPr>
              <w:t xml:space="preserve">Note</w:t>
            </w:r>
          </w:p>
        </w:tc>
      </w:tr>
      <w:tr>
        <w:trPr>
          <w:cantSplit/>
        </w:trPr>
        <w:tc>
          <w:tcPr>
            <w:tcW w:w="3384" w:type="dxa"/>
          </w:tcPr>
          <w:p>
            <w:pPr>
              <w:pStyle w:val="TableText"/>
            </w:pPr>
            <w:r>
              <w:t xml:space="preserve">Repository path, DOI, version, publication date</w:t>
            </w:r>
          </w:p>
        </w:tc>
        <w:tc>
          <w:tcPr>
            <w:tcW w:w="936" w:type="dxa"/>
          </w:tcPr>
          <w:p>
            <w:pPr>
              <w:pStyle w:val="TableText"/>
            </w:pPr>
            <w:r>
              <w:rPr>
                <w:b/>
                <w:color w:val="BE1E1E"/>
              </w:rPr>
              <w:t xml:space="preserve">[Cara]</w:t>
            </w:r>
          </w:p>
        </w:tc>
        <w:tc>
          <w:tcPr>
            <w:tcW w:w="5040" w:type="dxa"/>
          </w:tcPr>
          <w:p>
            <w:pPr>
              <w:pStyle w:val="TableText"/>
            </w:pPr>
            <w:r>
              <w:t xml:space="preserve">README, citation and manual title page hold placeholders.</w:t>
            </w:r>
          </w:p>
        </w:tc>
      </w:tr>
      <w:tr>
        <w:trPr>
          <w:cantSplit/>
        </w:trPr>
        <w:tc>
          <w:tcPr>
            <w:tcW w:w="3384" w:type="dxa"/>
          </w:tcPr>
          <w:p>
            <w:pPr>
              <w:pStyle w:val="TableText"/>
            </w:pPr>
            <w:r>
              <w:t xml:space="preserve">sedsat.org and its download form</w:t>
            </w:r>
          </w:p>
        </w:tc>
        <w:tc>
          <w:tcPr>
            <w:tcW w:w="936" w:type="dxa"/>
          </w:tcPr>
          <w:p>
            <w:pPr>
              <w:pStyle w:val="TableText"/>
            </w:pPr>
            <w:r>
              <w:rPr>
                <w:b/>
                <w:color w:val="BE1E1E"/>
              </w:rPr>
              <w:t xml:space="preserve">[Cara, Allen]</w:t>
            </w:r>
          </w:p>
        </w:tc>
        <w:tc>
          <w:tcPr>
            <w:tcW w:w="5040" w:type="dxa"/>
          </w:tcPr>
          <w:p>
            <w:pPr>
              <w:pStyle w:val="TableText"/>
            </w:pPr>
            <w:r>
              <w:t xml:space="preserve">Retire it or keep it as a pointer; check the form against USGS guidelines if it stays. Code-signing of the Windows package.</w:t>
            </w:r>
          </w:p>
        </w:tc>
      </w:tr>
      <w:tr>
        <w:trPr>
          <w:cantSplit/>
        </w:trPr>
        <w:tc>
          <w:tcPr>
            <w:tcW w:w="3384" w:type="dxa"/>
          </w:tcPr>
          <w:p>
            <w:pPr>
              <w:pStyle w:val="TableText"/>
            </w:pPr>
            <w:r>
              <w:t xml:space="preserve">USGS color guidance</w:t>
            </w:r>
          </w:p>
        </w:tc>
        <w:tc>
          <w:tcPr>
            <w:tcW w:w="936" w:type="dxa"/>
          </w:tcPr>
          <w:p>
            <w:pPr>
              <w:pStyle w:val="TableText"/>
            </w:pPr>
            <w:r>
              <w:rPr>
                <w:b/>
                <w:color w:val="BE1E1E"/>
              </w:rPr>
              <w:t xml:space="preserve">[Cara]</w:t>
            </w:r>
          </w:p>
        </w:tc>
        <w:tc>
          <w:tcPr>
            <w:tcW w:w="5040" w:type="dxa"/>
          </w:tcPr>
          <w:p>
            <w:pPr>
              <w:pStyle w:val="TableText"/>
            </w:pPr>
            <w:r>
              <w:t xml:space="preserve">The charts use the Okabe–Ito color-blind-safe palette.</w:t>
            </w:r>
          </w:p>
        </w:tc>
      </w:tr>
      <w:tr>
        <w:trPr>
          <w:cantSplit/>
        </w:trPr>
        <w:tc>
          <w:tcPr>
            <w:tcW w:w="3384" w:type="dxa"/>
          </w:tcPr>
          <w:p>
            <w:pPr>
              <w:pStyle w:val="TableText"/>
            </w:pPr>
            <w:r>
              <w:t xml:space="preserve">Sed_SAT 1.0 comparison</w:t>
            </w:r>
          </w:p>
        </w:tc>
        <w:tc>
          <w:tcPr>
            <w:tcW w:w="936" w:type="dxa"/>
          </w:tcPr>
          <w:p>
            <w:pPr>
              <w:pStyle w:val="TableText"/>
            </w:pPr>
            <w:r>
              <w:rPr>
                <w:b/>
                <w:color w:val="BE1E1E"/>
              </w:rPr>
              <w:t xml:space="preserve">[Allen]</w:t>
            </w:r>
          </w:p>
        </w:tc>
        <w:tc>
          <w:tcPr>
            <w:tcW w:w="5040" w:type="dxa"/>
          </w:tcPr>
          <w:p>
            <w:pPr>
              <w:pStyle w:val="TableText"/>
            </w:pPr>
            <w:r>
              <w:t xml:space="preserve">Review the last column of Table 1.1.</w:t>
            </w:r>
          </w:p>
        </w:tc>
      </w:tr>
    </w:tbl>
    <w:p>
      <w:pPr>
        <w:pStyle w:val="TableText"/>
      </w:pP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t xml:space="preserve">SedSAT3 — response to the domain review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2"/>
        <w:lang w:val="en-US"/>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360" w:after="160"/>
      <w:outlineLvl w:val="0"/>
    </w:pPr>
    <w:rPr>
      <w:b/>
      <w:color w:val="00643C"/>
      <w:sz w:val="30"/>
    </w:rPr>
  </w:style>
  <w:style w:type="paragraph" w:styleId="Line">
    <w:name w:val="Address line"/>
    <w:basedOn w:val="Normal"/>
    <w:pPr>
      <w:spacing w:after="0"/>
    </w:pPr>
  </w:style>
  <w:style w:type="paragraph" w:styleId="BoxTitle">
    <w:name w:val="Comment title"/>
    <w:basedOn w:val="Normal"/>
    <w:pPr>
      <w:spacing w:before="200" w:after="0"/>
      <w:ind w:left="120" w:right="120"/>
    </w:pPr>
    <w:rPr>
      <w:sz w:val="20"/>
    </w:rPr>
  </w:style>
  <w:style w:type="paragraph" w:styleId="BoxText">
    <w:name w:val="Comment text"/>
    <w:basedOn w:val="Normal"/>
    <w:pPr>
      <w:spacing w:after="0"/>
      <w:ind w:left="120" w:right="120"/>
    </w:pPr>
  </w:style>
  <w:style w:type="paragraph" w:styleId="ListBullet">
    <w:name w:val="List Bullet"/>
    <w:basedOn w:val="Normal"/>
    <w:pPr>
      <w:spacing w:after="40"/>
    </w:pPr>
  </w:style>
  <w:style w:type="paragraph" w:styleId="Quote">
    <w:name w:val="Quote"/>
    <w:basedOn w:val="Normal"/>
    <w:pPr>
      <w:spacing w:after="0"/>
      <w:ind w:left="720"/>
    </w:pPr>
  </w:style>
  <w:style w:type="paragraph" w:styleId="TableText">
    <w:name w:val="Table text"/>
    <w:basedOn w:val="Normal"/>
    <w:pPr>
      <w:spacing w:before="40" w:after="40" w:line="240" w:lineRule="auto"/>
    </w:pPr>
    <w:rPr>
      <w:sz w:val="19"/>
    </w:rPr>
  </w:style>
  <w:style w:type="paragraph" w:styleId="Footer">
    <w:name w:val="footer"/>
    <w:basedOn w:val="Normal"/>
    <w:pPr>
      <w:jc w:val="right"/>
    </w:pPr>
    <w:rPr>
      <w:sz w:val="18"/>
      <w:color w:val="66666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SedSAT3 — response to the domain review</dc:title>
  <dc:creator>Arash Massoudieh</dc:creator>
  <dcterms:created xsi:type="dcterms:W3CDTF">2026-10-24T14:38:16Z</dcterms:created>
</cp:coreProperties>
</file>