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679f2354b378d2e5a2eb02bff58d2f997993a61"/>
    <w:p>
      <w:pPr>
        <w:pStyle w:val="Heading1"/>
      </w:pPr>
      <w:r>
        <w:t xml:space="preserve">Stream Alpha route review after the M20 closeout</w:t>
      </w:r>
    </w:p>
    <w:bookmarkStart w:id="22" w:name="executive-verdict"/>
    <w:p>
      <w:pPr>
        <w:pStyle w:val="Heading2"/>
      </w:pPr>
      <w:r>
        <w:t xml:space="preserve">Executive verdict</w:t>
      </w:r>
    </w:p>
    <w:p>
      <w:pPr>
        <w:pStyle w:val="FirstParagraph"/>
      </w:pPr>
      <w:r>
        <w:rPr>
          <w:b/>
          <w:bCs/>
        </w:rPr>
        <w:t xml:space="preserve">MOVE_TO_M9_PLATFORM_MATURITY</w:t>
      </w:r>
    </w:p>
    <w:p>
      <w:pPr>
        <w:pStyle w:val="BodyText"/>
      </w:pPr>
      <w:r>
        <w:t xml:space="preserve">The M20 pause decision is sound. The attached/local closeout freezes M20 as</w:t>
      </w:r>
      <w:r>
        <w:t xml:space="preserve"> </w:t>
      </w:r>
      <w:r>
        <w:rPr>
          <w:rStyle w:val="VerbatimChar"/>
        </w:rPr>
        <w:t xml:space="preserve">M20_POLICY_ROUTE_PAUSED_NO_POSITIVE_PROXY</w:t>
      </w:r>
      <w:r>
        <w:t xml:space="preserve">,</w:t>
      </w:r>
      <w:r>
        <w:t xml:space="preserve"> </w:t>
      </w:r>
      <w:r>
        <w:rPr>
          <w:rStyle w:val="VerbatimChar"/>
        </w:rPr>
        <w:t xml:space="preserve">RESEARCH_ONLY_NEGATIVE_RESULT</w:t>
      </w:r>
      <w:r>
        <w:t xml:space="preserve">, with</w:t>
      </w:r>
      <w:r>
        <w:t xml:space="preserve"> </w:t>
      </w:r>
      <w:r>
        <w:rPr>
          <w:rStyle w:val="VerbatimChar"/>
        </w:rPr>
        <w:t xml:space="preserve">NO_RUNTIME_EFFECT</w:t>
      </w:r>
      <w:r>
        <w:t xml:space="preserve">,</w:t>
      </w:r>
      <w:r>
        <w:t xml:space="preserve"> </w:t>
      </w:r>
      <w:r>
        <w:rPr>
          <w:rStyle w:val="VerbatimChar"/>
        </w:rPr>
        <w:t xml:space="preserve">NOT_PROMOTABLE</w:t>
      </w:r>
      <w:r>
        <w:t xml:space="preserve">, and</w:t>
      </w:r>
      <w:r>
        <w:t xml:space="preserve"> </w:t>
      </w:r>
      <w:r>
        <w:rPr>
          <w:rStyle w:val="VerbatimChar"/>
        </w:rPr>
        <w:t xml:space="preserve">NO_PROFIT_CLAIM</w:t>
      </w:r>
      <w:r>
        <w:t xml:space="preserve">, and the repo-side summary writer encodes the same terminal decision plus a project recommendation to keep M20 paused and move to platform maturity rather than loop on one-off model, policy, label, or input retries. fileciteturn4file0</w:t>
      </w:r>
      <w:r>
        <w:t xml:space="preserve"> </w:t>
      </w:r>
      <w:hyperlink r:id="rId21">
        <w:r>
          <w:rPr>
            <w:rStyle w:val="Hyperlink"/>
          </w:rPr>
          <w:t xml:space="preserve">[1]</w:t>
        </w:r>
      </w:hyperlink>
    </w:p>
    <w:p>
      <w:pPr>
        <w:pStyle w:val="BodyText"/>
      </w:pPr>
      <w:r>
        <w:t xml:space="preserve">The cleanest next route is therefore</w:t>
      </w:r>
      <w:r>
        <w:t xml:space="preserve"> </w:t>
      </w:r>
      <w:r>
        <w:rPr>
          <w:b/>
          <w:bCs/>
        </w:rPr>
        <w:t xml:space="preserve">platform maturity now, M20 later only if a materially better data project exists</w:t>
      </w:r>
      <w:r>
        <w:t xml:space="preserve">. The strongest implementation interpretation is</w:t>
      </w:r>
      <w:r>
        <w:t xml:space="preserve"> </w:t>
      </w:r>
      <w:r>
        <w:rPr>
          <w:b/>
          <w:bCs/>
        </w:rPr>
        <w:t xml:space="preserve">audit-first M9</w:t>
      </w:r>
      <w:r>
        <w:t xml:space="preserve">, not greenfield M9: use regime integration as the entry point into the next platform lane, but first inspect what is already real in the repo so you do not rebuild completed surfaces or chase fake gaps. The final M20 summary explicitly allows</w:t>
      </w:r>
      <w:r>
        <w:t xml:space="preserve"> </w:t>
      </w:r>
      <w:r>
        <w:rPr>
          <w:rStyle w:val="VerbatimChar"/>
        </w:rPr>
        <w:t xml:space="preserve">platform_maturity</w:t>
      </w:r>
      <w:r>
        <w:t xml:space="preserve"> </w:t>
      </w:r>
      <w:r>
        <w:t xml:space="preserve">and</w:t>
      </w:r>
      <w:r>
        <w:t xml:space="preserve"> </w:t>
      </w:r>
      <w:r>
        <w:rPr>
          <w:rStyle w:val="VerbatimChar"/>
        </w:rPr>
        <w:t xml:space="preserve">data_upgrade_planning</w:t>
      </w:r>
      <w:r>
        <w:t xml:space="preserve"> </w:t>
      </w:r>
      <w:r>
        <w:t xml:space="preserve">as next routes while forbidding one-off retries and profit/promotion claims.</w:t>
      </w:r>
      <w:r>
        <w:t xml:space="preserve"> </w:t>
      </w:r>
      <w:hyperlink r:id="rId21">
        <w:r>
          <w:rPr>
            <w:rStyle w:val="Hyperlink"/>
          </w:rPr>
          <w:t xml:space="preserve">[1]</w:t>
        </w:r>
      </w:hyperlink>
    </w:p>
    <w:bookmarkEnd w:id="22"/>
    <w:bookmarkStart w:id="34" w:name="evidence-summary"/>
    <w:p>
      <w:pPr>
        <w:pStyle w:val="Heading2"/>
      </w:pPr>
      <w:r>
        <w:t xml:space="preserve">Evidence summary</w:t>
      </w:r>
    </w:p>
    <w:bookmarkStart w:id="24" w:name="evidence-from-stream-alpha-artifacts"/>
    <w:p>
      <w:pPr>
        <w:pStyle w:val="Heading3"/>
      </w:pPr>
      <w:r>
        <w:t xml:space="preserve">Evidence from Stream Alpha artifacts</w:t>
      </w:r>
    </w:p>
    <w:p>
      <w:pPr>
        <w:pStyle w:val="FirstParagraph"/>
      </w:pPr>
      <w:r>
        <w:t xml:space="preserve">The local M20 terminal artifact chain is internally consistent: the final summary records a complete negative result, counts the completed route evidence, and names the remaining future-input families as planning-only items rather than an immediate rescue path. Those families are order-book/microstructure, spread/liquidity, trade-flow imbalance, execution-quality measurements, stricter untouched segments, and lower-turnover event labels. That is exactly the profile of a</w:t>
      </w:r>
      <w:r>
        <w:t xml:space="preserve"> </w:t>
      </w:r>
      <w:r>
        <w:rPr>
          <w:b/>
          <w:bCs/>
        </w:rPr>
        <w:t xml:space="preserve">closed research lane plus a deferred data-upgrade lane</w:t>
      </w:r>
      <w:r>
        <w:t xml:space="preserve">, not a “keep tuning M20 tomorrow” lane. fileciteturn4file0</w:t>
      </w:r>
      <w:r>
        <w:t xml:space="preserve"> </w:t>
      </w:r>
      <w:hyperlink r:id="rId21">
        <w:r>
          <w:rPr>
            <w:rStyle w:val="Hyperlink"/>
          </w:rPr>
          <w:t xml:space="preserve">[1]</w:t>
        </w:r>
      </w:hyperlink>
    </w:p>
    <w:p>
      <w:pPr>
        <w:pStyle w:val="BodyText"/>
      </w:pPr>
      <w:r>
        <w:t xml:space="preserve">The recovery plan also supports the pause. It argued that the right M20 recovery was to move away from raw next-3-candle specialist beating and toward a context-aware decision layer plus trading-aware labels; and it explicitly said that if the decision-policy route still failed cleanly, the honest fallback would be platform/research-stack maturity, while richer ultra-short-horizon work would likely require order-flow or limit-order-book data as a materially different project. fileciteturn4file1</w:t>
      </w:r>
    </w:p>
    <w:p>
      <w:pPr>
        <w:pStyle w:val="BodyText"/>
      </w:pPr>
      <w:r>
        <w:t xml:space="preserve">The repo structure still matters for route ordering. The current README defines the runtime maturity sequence as M9 regime-aware signal logic, then M10 risk, then M11 execution abstraction, then M12 guarded live controls, and frames the system around explicit authority boundaries rather than “alpha first at any cost.” It also states that the higher foundation is not honestly complete through M21 and that M20 should be judged on real candidate breadth and economics after costs. That makes platform-maturity continuation more coherent than reopening M20.</w:t>
      </w:r>
      <w:r>
        <w:t xml:space="preserve"> </w:t>
      </w:r>
      <w:hyperlink r:id="rId23">
        <w:r>
          <w:rPr>
            <w:rStyle w:val="Hyperlink"/>
          </w:rPr>
          <w:t xml:space="preserve">[2]</w:t>
        </w:r>
      </w:hyperlink>
    </w:p>
    <w:p>
      <w:pPr>
        <w:pStyle w:val="BodyText"/>
      </w:pPr>
      <w:r>
        <w:t xml:space="preserve">One important caveat: the visible repo snapshot appears slightly older than the attached/local M20 closeout. The fetched README still describes M20 as active/weak rather than paused, while the attached final summary and the summary writer both freeze M20 as paused. I therefore treat the attached/local M20 closeout as the freshest truth for route choice, and the repo snapshot as the best source for architecture shape and milestone order. fileciteturn4file0</w:t>
      </w:r>
      <w:r>
        <w:t xml:space="preserve"> </w:t>
      </w:r>
      <w:hyperlink r:id="rId23">
        <w:r>
          <w:rPr>
            <w:rStyle w:val="Hyperlink"/>
          </w:rPr>
          <w:t xml:space="preserve">[2]</w:t>
        </w:r>
      </w:hyperlink>
      <w:r>
        <w:t xml:space="preserve"> </w:t>
      </w:r>
      <w:hyperlink r:id="rId21">
        <w:r>
          <w:rPr>
            <w:rStyle w:val="Hyperlink"/>
          </w:rPr>
          <w:t xml:space="preserve">[1]</w:t>
        </w:r>
      </w:hyperlink>
    </w:p>
    <w:bookmarkEnd w:id="24"/>
    <w:bookmarkStart w:id="32" w:name="X87695b5c9611960a20f4242643a3a6f8db8f492"/>
    <w:p>
      <w:pPr>
        <w:pStyle w:val="Heading3"/>
      </w:pPr>
      <w:r>
        <w:t xml:space="preserve">Evidence from literature and best practice</w:t>
      </w:r>
    </w:p>
    <w:p>
      <w:pPr>
        <w:pStyle w:val="FirstParagraph"/>
      </w:pPr>
      <w:r>
        <w:t xml:space="preserve">Current literature strongly supports the claim that</w:t>
      </w:r>
      <w:r>
        <w:t xml:space="preserve"> </w:t>
      </w:r>
      <w:r>
        <w:rPr>
          <w:b/>
          <w:bCs/>
        </w:rPr>
        <w:t xml:space="preserve">OHLC-only, fixed-time, short-horizon crypto research is an awkward place to keep grinding once costs matter</w:t>
      </w:r>
      <w:r>
        <w:t xml:space="preserve">. A 2025 crypto study found that traditional time bars and next-bar prediction performed poorly after transaction costs, while information-driven sampling and triple-barrier labeling produced materially better trading outcomes and allowed decisions to align with market activity rather than arbitrary clock intervals.</w:t>
      </w:r>
      <w:r>
        <w:t xml:space="preserve"> </w:t>
      </w:r>
      <w:hyperlink r:id="rId25">
        <w:r>
          <w:rPr>
            <w:rStyle w:val="Hyperlink"/>
          </w:rPr>
          <w:t xml:space="preserve">[3]</w:t>
        </w:r>
      </w:hyperlink>
    </w:p>
    <w:p>
      <w:pPr>
        <w:pStyle w:val="BodyText"/>
      </w:pPr>
      <w:r>
        <w:t xml:space="preserve">At the same time, the literature says that</w:t>
      </w:r>
      <w:r>
        <w:t xml:space="preserve"> </w:t>
      </w:r>
      <w:r>
        <w:rPr>
          <w:b/>
          <w:bCs/>
        </w:rPr>
        <w:t xml:space="preserve">better prediction metrics are not the same thing as tradable edge</w:t>
      </w:r>
      <w:r>
        <w:t xml:space="preserve">. Recent limit-order-book work shows that high forecasting power can fail to translate into actionable trading signals, and argues that conventional ML metrics are inadequate unless they are tied to execution-relevant operational evaluation. That matters directly for Stream Alpha because M20 already produced slice/statistical hints that died once economics and policy evaluation were applied.</w:t>
      </w:r>
      <w:r>
        <w:t xml:space="preserve"> </w:t>
      </w:r>
      <w:hyperlink r:id="rId26">
        <w:r>
          <w:rPr>
            <w:rStyle w:val="Hyperlink"/>
          </w:rPr>
          <w:t xml:space="preserve">[4]</w:t>
        </w:r>
      </w:hyperlink>
    </w:p>
    <w:p>
      <w:pPr>
        <w:pStyle w:val="BodyText"/>
      </w:pPr>
      <w:r>
        <w:t xml:space="preserve">The strongest external argument for a future M20 reopening is not “try more OHLC models.” It is</w:t>
      </w:r>
      <w:r>
        <w:t xml:space="preserve"> </w:t>
      </w:r>
      <w:r>
        <w:rPr>
          <w:b/>
          <w:bCs/>
        </w:rPr>
        <w:t xml:space="preserve">use richer market microstructure data</w:t>
      </w:r>
      <w:r>
        <w:t xml:space="preserve">. Digital-asset limit-order-book studies show that order-book states can predict very short-horizon moves, and recent crypto return work finds that order flow has strong explanatory and predictive power and can dominate fundamentals in out-of-sample prediction. That is a different input family, not another threshold tweak on the current stack.</w:t>
      </w:r>
      <w:r>
        <w:t xml:space="preserve"> </w:t>
      </w:r>
      <w:hyperlink r:id="rId27">
        <w:r>
          <w:rPr>
            <w:rStyle w:val="Hyperlink"/>
          </w:rPr>
          <w:t xml:space="preserve">[5]</w:t>
        </w:r>
      </w:hyperlink>
    </w:p>
    <w:p>
      <w:pPr>
        <w:pStyle w:val="BodyText"/>
      </w:pPr>
      <w:r>
        <w:t xml:space="preserve">Liquidity and trading frictions also matter enough that they should be treated as first-class future inputs, not as a footnote. Research on crypto liquidity shows that spread/liquidity measures can be estimated from data and that liquidity conditions are tied to return dynamics and trading conditions. That supports the final M20 note that spread/liquidity and execution-quality measurements belong in any serious future reopening plan.</w:t>
      </w:r>
      <w:r>
        <w:t xml:space="preserve"> </w:t>
      </w:r>
      <w:hyperlink r:id="rId28">
        <w:r>
          <w:rPr>
            <w:rStyle w:val="Hyperlink"/>
          </w:rPr>
          <w:t xml:space="preserve">[6]</w:t>
        </w:r>
      </w:hyperlink>
    </w:p>
    <w:p>
      <w:pPr>
        <w:pStyle w:val="BodyText"/>
      </w:pPr>
      <w:r>
        <w:t xml:space="preserve">The search-breadth literature is also decisive here. The probability-of-backtest-overfitting literature shows that ordinary holdout logic is not enough once many configurations are tried, and later work reinforces that model selection itself becomes the failure point when the search gets wide. After seven negative routes, the worst next move would be another round of thresholds, specialists, labels, or policy variants without a new data regime.</w:t>
      </w:r>
      <w:r>
        <w:t xml:space="preserve"> </w:t>
      </w:r>
      <w:hyperlink r:id="rId29">
        <w:r>
          <w:rPr>
            <w:rStyle w:val="Hyperlink"/>
          </w:rPr>
          <w:t xml:space="preserve">[7]</w:t>
        </w:r>
      </w:hyperlink>
    </w:p>
    <w:p>
      <w:pPr>
        <w:pStyle w:val="BodyText"/>
      </w:pPr>
      <w:r>
        <w:t xml:space="preserve">There is still nuance. The literature does</w:t>
      </w:r>
      <w:r>
        <w:t xml:space="preserve"> </w:t>
      </w:r>
      <w:r>
        <w:rPr>
          <w:b/>
          <w:bCs/>
        </w:rPr>
        <w:t xml:space="preserve">not</w:t>
      </w:r>
      <w:r>
        <w:t xml:space="preserve"> </w:t>
      </w:r>
      <w:r>
        <w:t xml:space="preserve">say that crypto alpha is impossible. Some intraday technical-rule studies still find out-of-sample profitability after costs when data-mining controls are handled carefully, while other work shows increasing high-frequency efficiency and fragility. The right interpretation is therefore:</w:t>
      </w:r>
      <w:r>
        <w:t xml:space="preserve"> </w:t>
      </w:r>
      <w:r>
        <w:rPr>
          <w:b/>
          <w:bCs/>
        </w:rPr>
        <w:t xml:space="preserve">M20 is a valid negative result for the current Stream Alpha design, not a universal impossibility theorem.</w:t>
      </w:r>
      <w:r>
        <w:t xml:space="preserve"> </w:t>
      </w:r>
      <w:hyperlink r:id="rId30">
        <w:r>
          <w:rPr>
            <w:rStyle w:val="Hyperlink"/>
          </w:rPr>
          <w:t xml:space="preserve">[8]</w:t>
        </w:r>
      </w:hyperlink>
    </w:p>
    <w:p>
      <w:pPr>
        <w:pStyle w:val="BodyText"/>
      </w:pPr>
      <w:r>
        <w:t xml:space="preserve">Finally, regime-aware routing is not arbitrary architecture ornament. Regime-switching literature shows that crypto markets do exhibit regime changes, and that regime detection is useful for forecasting and risk framing. That supports using regime context as a reusable platform signal and making it visible before any future data-upgrade research lane is reopened.</w:t>
      </w:r>
      <w:r>
        <w:t xml:space="preserve"> </w:t>
      </w:r>
      <w:hyperlink r:id="rId31">
        <w:r>
          <w:rPr>
            <w:rStyle w:val="Hyperlink"/>
          </w:rPr>
          <w:t xml:space="preserve">[9]</w:t>
        </w:r>
      </w:hyperlink>
    </w:p>
    <w:bookmarkEnd w:id="32"/>
    <w:bookmarkStart w:id="33" w:name="assumptions"/>
    <w:p>
      <w:pPr>
        <w:pStyle w:val="Heading3"/>
      </w:pPr>
      <w:r>
        <w:t xml:space="preserve">Assumptions</w:t>
      </w:r>
    </w:p>
    <w:p>
      <w:pPr>
        <w:pStyle w:val="FirstParagraph"/>
      </w:pPr>
      <w:r>
        <w:t xml:space="preserve">I am assuming the attached/local M20 closeout is newer than the visible repo README snapshot where the two conflict, because the closeout is route-specific and explicitly terminal while the README still looks like an earlier “active but weak” phase. I am also assuming that the major untested family is</w:t>
      </w:r>
      <w:r>
        <w:t xml:space="preserve"> </w:t>
      </w:r>
      <w:r>
        <w:rPr>
          <w:b/>
          <w:bCs/>
        </w:rPr>
        <w:t xml:space="preserve">different data</w:t>
      </w:r>
      <w:r>
        <w:t xml:space="preserve">, not an untried OHLC-only rescue, because both the recovery plan and the literature point there. fileciteturn4file0 fileciteturn4file1</w:t>
      </w:r>
      <w:r>
        <w:t xml:space="preserve"> </w:t>
      </w:r>
      <w:hyperlink r:id="rId23">
        <w:r>
          <w:rPr>
            <w:rStyle w:val="Hyperlink"/>
          </w:rPr>
          <w:t xml:space="preserve">[2]</w:t>
        </w:r>
      </w:hyperlink>
    </w:p>
    <w:bookmarkEnd w:id="33"/>
    <w:bookmarkEnd w:id="34"/>
    <w:bookmarkStart w:id="35" w:name="route-comparison-table"/>
    <w:p>
      <w:pPr>
        <w:pStyle w:val="Heading2"/>
      </w:pPr>
      <w:r>
        <w:t xml:space="preserve">Route comparison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route</w:t>
            </w:r>
          </w:p>
        </w:tc>
        <w:tc>
          <w:tcPr/>
          <w:p>
            <w:pPr>
              <w:pStyle w:val="Compact"/>
            </w:pPr>
            <w:r>
              <w:t xml:space="preserve">pros</w:t>
            </w:r>
          </w:p>
        </w:tc>
        <w:tc>
          <w:tcPr/>
          <w:p>
            <w:pPr>
              <w:pStyle w:val="Compact"/>
            </w:pPr>
            <w:r>
              <w:t xml:space="preserve">cons</w:t>
            </w:r>
          </w:p>
        </w:tc>
        <w:tc>
          <w:tcPr/>
          <w:p>
            <w:pPr>
              <w:pStyle w:val="Compact"/>
            </w:pPr>
            <w:r>
              <w:t xml:space="preserve">implementation risk</w:t>
            </w:r>
          </w:p>
        </w:tc>
        <w:tc>
          <w:tcPr/>
          <w:p>
            <w:pPr>
              <w:pStyle w:val="Compact"/>
            </w:pPr>
            <w:r>
              <w:t xml:space="preserve">research risk</w:t>
            </w:r>
          </w:p>
        </w:tc>
        <w:tc>
          <w:tcPr/>
          <w:p>
            <w:pPr>
              <w:pStyle w:val="Compact"/>
            </w:pPr>
            <w:r>
              <w:t xml:space="preserve">portfolio value</w:t>
            </w:r>
          </w:p>
        </w:tc>
        <w:tc>
          <w:tcPr/>
          <w:p>
            <w:pPr>
              <w:pStyle w:val="Compact"/>
            </w:pPr>
            <w:r>
              <w:t xml:space="preserve">recommendation</w:t>
            </w:r>
          </w:p>
        </w:tc>
      </w:tr>
      <w:tr>
        <w:tc>
          <w:tcPr/>
          <w:p>
            <w:pPr>
              <w:pStyle w:val="Compact"/>
            </w:pPr>
            <w:r>
              <w:rPr>
                <w:b/>
                <w:bCs/>
              </w:rPr>
              <w:t xml:space="preserve">A. M9 platform maturity now, audit-first</w:t>
            </w:r>
          </w:p>
        </w:tc>
        <w:tc>
          <w:tcPr/>
          <w:p>
            <w:pPr>
              <w:pStyle w:val="Compact"/>
            </w:pPr>
            <w:r>
              <w:t xml:space="preserve">Best alignment with M20 closeout; strongest anti-fake-alpha move; improves reusable platform trust; highest immediate MSc/portfolio credibility</w:t>
            </w:r>
          </w:p>
        </w:tc>
        <w:tc>
          <w:tcPr/>
          <w:p>
            <w:pPr>
              <w:pStyle w:val="Compact"/>
            </w:pPr>
            <w:r>
              <w:t xml:space="preserve">Risk of duplicating existing surfaces if repo/docs drift is real; needs audit first</w:t>
            </w:r>
          </w:p>
        </w:tc>
        <w:tc>
          <w:tcPr/>
          <w:p>
            <w:pPr>
              <w:pStyle w:val="Compact"/>
            </w:pPr>
            <w:r>
              <w:t xml:space="preserve">Low-Medium</w:t>
            </w:r>
          </w:p>
        </w:tc>
        <w:tc>
          <w:tcPr/>
          <w:p>
            <w:pPr>
              <w:pStyle w:val="Compact"/>
            </w:pPr>
            <w:r>
              <w:t xml:space="preserve">Low</w:t>
            </w:r>
          </w:p>
        </w:tc>
        <w:tc>
          <w:tcPr/>
          <w:p>
            <w:pPr>
              <w:pStyle w:val="Compact"/>
            </w:pPr>
            <w:r>
              <w:t xml:space="preserve">High</w:t>
            </w:r>
          </w:p>
        </w:tc>
        <w:tc>
          <w:tcPr/>
          <w:p>
            <w:pPr>
              <w:pStyle w:val="Compact"/>
            </w:pPr>
            <w:r>
              <w:rPr>
                <w:b/>
                <w:bCs/>
              </w:rPr>
              <w:t xml:space="preserve">Best</w:t>
            </w:r>
          </w:p>
        </w:tc>
      </w:tr>
      <w:tr>
        <w:tc>
          <w:tcPr/>
          <w:p>
            <w:pPr>
              <w:pStyle w:val="Compact"/>
            </w:pPr>
            <w:r>
              <w:rPr>
                <w:b/>
                <w:bCs/>
              </w:rPr>
              <w:t xml:space="preserve">B. Data-upgrade planning first</w:t>
            </w:r>
          </w:p>
        </w:tc>
        <w:tc>
          <w:tcPr/>
          <w:p>
            <w:pPr>
              <w:pStyle w:val="Compact"/>
            </w:pPr>
            <w:r>
              <w:t xml:space="preserve">Preserves future M20 reopening logic; clarifies microstructure requirements</w:t>
            </w:r>
          </w:p>
        </w:tc>
        <w:tc>
          <w:tcPr/>
          <w:p>
            <w:pPr>
              <w:pStyle w:val="Compact"/>
            </w:pPr>
            <w:r>
              <w:t xml:space="preserve">Stalls visible platform progress; invites renewed alpha obsession; planning can sprawl without implementation value</w:t>
            </w:r>
          </w:p>
        </w:tc>
        <w:tc>
          <w:tcPr/>
          <w:p>
            <w:pPr>
              <w:pStyle w:val="Compact"/>
            </w:pPr>
            <w:r>
              <w:t xml:space="preserve">Low</w:t>
            </w:r>
          </w:p>
        </w:tc>
        <w:tc>
          <w:tcPr/>
          <w:p>
            <w:pPr>
              <w:pStyle w:val="Compact"/>
            </w:pPr>
            <w:r>
              <w:t xml:space="preserve">Medium-High</w:t>
            </w:r>
          </w:p>
        </w:tc>
        <w:tc>
          <w:tcPr/>
          <w:p>
            <w:pPr>
              <w:pStyle w:val="Compact"/>
            </w:pPr>
            <w:r>
              <w:t xml:space="preserve">Medium</w:t>
            </w:r>
          </w:p>
        </w:tc>
        <w:tc>
          <w:tcPr/>
          <w:p>
            <w:pPr>
              <w:pStyle w:val="Compact"/>
            </w:pPr>
            <w:r>
              <w:t xml:space="preserve">Not first</w:t>
            </w:r>
          </w:p>
        </w:tc>
      </w:tr>
      <w:tr>
        <w:tc>
          <w:tcPr/>
          <w:p>
            <w:pPr>
              <w:pStyle w:val="Compact"/>
            </w:pPr>
            <w:r>
              <w:rPr>
                <w:b/>
                <w:bCs/>
              </w:rPr>
              <w:t xml:space="preserve">C. Hybrid: M9 now plus small planning-only data-upgrade note</w:t>
            </w:r>
          </w:p>
        </w:tc>
        <w:tc>
          <w:tcPr/>
          <w:p>
            <w:pPr>
              <w:pStyle w:val="Compact"/>
            </w:pPr>
            <w:r>
              <w:t xml:space="preserve">Balanced; keeps future research memory alive while moving platform forward</w:t>
            </w:r>
          </w:p>
        </w:tc>
        <w:tc>
          <w:tcPr/>
          <w:p>
            <w:pPr>
              <w:pStyle w:val="Compact"/>
            </w:pPr>
            <w:r>
              <w:t xml:space="preserve">Focus can split; coders may drift into pseudo-M20 reopening</w:t>
            </w:r>
          </w:p>
        </w:tc>
        <w:tc>
          <w:tcPr/>
          <w:p>
            <w:pPr>
              <w:pStyle w:val="Compact"/>
            </w:pPr>
            <w:r>
              <w:t xml:space="preserve">Medium</w:t>
            </w:r>
          </w:p>
        </w:tc>
        <w:tc>
          <w:tcPr/>
          <w:p>
            <w:pPr>
              <w:pStyle w:val="Compact"/>
            </w:pPr>
            <w:r>
              <w:t xml:space="preserve">Medium</w:t>
            </w:r>
          </w:p>
        </w:tc>
        <w:tc>
          <w:tcPr/>
          <w:p>
            <w:pPr>
              <w:pStyle w:val="Compact"/>
            </w:pPr>
            <w:r>
              <w:t xml:space="preserve">High</w:t>
            </w:r>
          </w:p>
        </w:tc>
        <w:tc>
          <w:tcPr/>
          <w:p>
            <w:pPr>
              <w:pStyle w:val="Compact"/>
            </w:pPr>
            <w:r>
              <w:t xml:space="preserve">Good second-best</w:t>
            </w:r>
          </w:p>
        </w:tc>
      </w:tr>
      <w:tr>
        <w:tc>
          <w:tcPr/>
          <w:p>
            <w:pPr>
              <w:pStyle w:val="Compact"/>
            </w:pPr>
            <w:r>
              <w:rPr>
                <w:b/>
                <w:bCs/>
              </w:rPr>
              <w:t xml:space="preserve">M10 risk engine first</w:t>
            </w:r>
          </w:p>
        </w:tc>
        <w:tc>
          <w:tcPr/>
          <w:p>
            <w:pPr>
              <w:pStyle w:val="Compact"/>
            </w:pPr>
            <w:r>
              <w:t xml:space="preserve">Risk has strong platform value</w:t>
            </w:r>
          </w:p>
        </w:tc>
        <w:tc>
          <w:tcPr/>
          <w:p>
            <w:pPr>
              <w:pStyle w:val="Compact"/>
            </w:pPr>
            <w:r>
              <w:t xml:space="preserve">More likely to be reworked if regime context contract is still inconsistent or partially implicit</w:t>
            </w:r>
          </w:p>
        </w:tc>
        <w:tc>
          <w:tcPr/>
          <w:p>
            <w:pPr>
              <w:pStyle w:val="Compact"/>
            </w:pPr>
            <w:r>
              <w:t xml:space="preserve">Medium</w:t>
            </w:r>
          </w:p>
        </w:tc>
        <w:tc>
          <w:tcPr/>
          <w:p>
            <w:pPr>
              <w:pStyle w:val="Compact"/>
            </w:pPr>
            <w:r>
              <w:t xml:space="preserve">Low</w:t>
            </w:r>
          </w:p>
        </w:tc>
        <w:tc>
          <w:tcPr/>
          <w:p>
            <w:pPr>
              <w:pStyle w:val="Compact"/>
            </w:pPr>
            <w:r>
              <w:t xml:space="preserve">Medium-High</w:t>
            </w:r>
          </w:p>
        </w:tc>
        <w:tc>
          <w:tcPr/>
          <w:p>
            <w:pPr>
              <w:pStyle w:val="Compact"/>
            </w:pPr>
            <w:r>
              <w:t xml:space="preserve">After M9 audit/gap-fill</w:t>
            </w:r>
          </w:p>
        </w:tc>
      </w:tr>
      <w:tr>
        <w:tc>
          <w:tcPr/>
          <w:p>
            <w:pPr>
              <w:pStyle w:val="Compact"/>
            </w:pPr>
            <w:r>
              <w:rPr>
                <w:b/>
                <w:bCs/>
              </w:rPr>
              <w:t xml:space="preserve">M11 shadow execution first</w:t>
            </w:r>
          </w:p>
        </w:tc>
        <w:tc>
          <w:tcPr/>
          <w:p>
            <w:pPr>
              <w:pStyle w:val="Compact"/>
            </w:pPr>
            <w:r>
              <w:t xml:space="preserve">Execution truth matters</w:t>
            </w:r>
          </w:p>
        </w:tc>
        <w:tc>
          <w:tcPr/>
          <w:p>
            <w:pPr>
              <w:pStyle w:val="Compact"/>
            </w:pPr>
            <w:r>
              <w:t xml:space="preserve">Premature if upstream regime/signal context is still inconsistent; weaker than M9 for current needs</w:t>
            </w:r>
          </w:p>
        </w:tc>
        <w:tc>
          <w:tcPr/>
          <w:p>
            <w:pPr>
              <w:pStyle w:val="Compact"/>
            </w:pPr>
            <w:r>
              <w:t xml:space="preserve">Medium-High</w:t>
            </w:r>
          </w:p>
        </w:tc>
        <w:tc>
          <w:tcPr/>
          <w:p>
            <w:pPr>
              <w:pStyle w:val="Compact"/>
            </w:pPr>
            <w:r>
              <w:t xml:space="preserve">Low</w:t>
            </w:r>
          </w:p>
        </w:tc>
        <w:tc>
          <w:tcPr/>
          <w:p>
            <w:pPr>
              <w:pStyle w:val="Compact"/>
            </w:pPr>
            <w:r>
              <w:t xml:space="preserve">Medium</w:t>
            </w:r>
          </w:p>
        </w:tc>
        <w:tc>
          <w:tcPr/>
          <w:p>
            <w:pPr>
              <w:pStyle w:val="Compact"/>
            </w:pPr>
            <w:r>
              <w:t xml:space="preserve">Later</w:t>
            </w:r>
          </w:p>
        </w:tc>
      </w:tr>
      <w:tr>
        <w:tc>
          <w:tcPr/>
          <w:p>
            <w:pPr>
              <w:pStyle w:val="Compact"/>
            </w:pPr>
            <w:r>
              <w:rPr>
                <w:b/>
                <w:bCs/>
              </w:rPr>
              <w:t xml:space="preserve">M13 reliability first</w:t>
            </w:r>
          </w:p>
        </w:tc>
        <w:tc>
          <w:tcPr/>
          <w:p>
            <w:pPr>
              <w:pStyle w:val="Compact"/>
            </w:pPr>
            <w:r>
              <w:t xml:space="preserve">Reliability always useful</w:t>
            </w:r>
          </w:p>
        </w:tc>
        <w:tc>
          <w:tcPr/>
          <w:p>
            <w:pPr>
              <w:pStyle w:val="Compact"/>
            </w:pPr>
            <w:r>
              <w:t xml:space="preserve">Lowest marginal value if reliability foundation is already present; wrong first target for post-M20 route reset</w:t>
            </w:r>
          </w:p>
        </w:tc>
        <w:tc>
          <w:tcPr/>
          <w:p>
            <w:pPr>
              <w:pStyle w:val="Compact"/>
            </w:pPr>
            <w:r>
              <w:t xml:space="preserve">Medium</w:t>
            </w:r>
          </w:p>
        </w:tc>
        <w:tc>
          <w:tcPr/>
          <w:p>
            <w:pPr>
              <w:pStyle w:val="Compact"/>
            </w:pPr>
            <w:r>
              <w:t xml:space="preserve">Low</w:t>
            </w:r>
          </w:p>
        </w:tc>
        <w:tc>
          <w:tcPr/>
          <w:p>
            <w:pPr>
              <w:pStyle w:val="Compact"/>
            </w:pPr>
            <w:r>
              <w:t xml:space="preserve">Medium</w:t>
            </w:r>
          </w:p>
        </w:tc>
        <w:tc>
          <w:tcPr/>
          <w:p>
            <w:pPr>
              <w:pStyle w:val="Compact"/>
            </w:pPr>
            <w:r>
              <w:t xml:space="preserve">Not first</w:t>
            </w:r>
          </w:p>
        </w:tc>
      </w:tr>
      <w:tr>
        <w:tc>
          <w:tcPr/>
          <w:p>
            <w:pPr>
              <w:pStyle w:val="Compact"/>
            </w:pPr>
            <w:r>
              <w:rPr>
                <w:b/>
                <w:bCs/>
              </w:rPr>
              <w:t xml:space="preserve">README / portfolio positioning first</w:t>
            </w:r>
          </w:p>
        </w:tc>
        <w:tc>
          <w:tcPr/>
          <w:p>
            <w:pPr>
              <w:pStyle w:val="Compact"/>
            </w:pPr>
            <w:r>
              <w:t xml:space="preserve">Cheap and useful</w:t>
            </w:r>
          </w:p>
        </w:tc>
        <w:tc>
          <w:tcPr/>
          <w:p>
            <w:pPr>
              <w:pStyle w:val="Compact"/>
            </w:pPr>
            <w:r>
              <w:t xml:space="preserve">Docs-only move; does not advance platform substance</w:t>
            </w:r>
          </w:p>
        </w:tc>
        <w:tc>
          <w:tcPr/>
          <w:p>
            <w:pPr>
              <w:pStyle w:val="Compact"/>
            </w:pPr>
            <w:r>
              <w:t xml:space="preserve">Low</w:t>
            </w:r>
          </w:p>
        </w:tc>
        <w:tc>
          <w:tcPr/>
          <w:p>
            <w:pPr>
              <w:pStyle w:val="Compact"/>
            </w:pPr>
            <w:r>
              <w:t xml:space="preserve">Low</w:t>
            </w:r>
          </w:p>
        </w:tc>
        <w:tc>
          <w:tcPr/>
          <w:p>
            <w:pPr>
              <w:pStyle w:val="Compact"/>
            </w:pPr>
            <w:r>
              <w:t xml:space="preserve">Medium</w:t>
            </w:r>
          </w:p>
        </w:tc>
        <w:tc>
          <w:tcPr/>
          <w:p>
            <w:pPr>
              <w:pStyle w:val="Compact"/>
            </w:pPr>
            <w:r>
              <w:t xml:space="preserve">Follow-up only</w:t>
            </w:r>
          </w:p>
        </w:tc>
      </w:tr>
    </w:tbl>
    <w:p>
      <w:pPr>
        <w:pStyle w:val="BodyText"/>
      </w:pPr>
      <w:r>
        <w:t xml:space="preserve">The only serious alternative to A is C. If you want the cleanest project management compromise, C is acceptable</w:t>
      </w:r>
      <w:r>
        <w:t xml:space="preserve"> </w:t>
      </w:r>
      <w:r>
        <w:rPr>
          <w:b/>
          <w:bCs/>
        </w:rPr>
        <w:t xml:space="preserve">only</w:t>
      </w:r>
      <w:r>
        <w:t xml:space="preserve"> </w:t>
      </w:r>
      <w:r>
        <w:t xml:space="preserve">if the “data-upgrade plan” stays planning-only and very small. If you want the strongest single-threaded research-to-implementation transition, A is better because the final M20 closeout has already done enough to document the future input families.</w:t>
      </w:r>
      <w:r>
        <w:t xml:space="preserve"> </w:t>
      </w:r>
      <w:hyperlink r:id="rId21">
        <w:r>
          <w:rPr>
            <w:rStyle w:val="Hyperlink"/>
          </w:rPr>
          <w:t xml:space="preserve">[1]</w:t>
        </w:r>
      </w:hyperlink>
    </w:p>
    <w:bookmarkEnd w:id="35"/>
    <w:bookmarkStart w:id="38" w:name="recommended-roadmap"/>
    <w:p>
      <w:pPr>
        <w:pStyle w:val="Heading2"/>
      </w:pPr>
      <w:r>
        <w:t xml:space="preserve">Recommended roadmap</w:t>
      </w:r>
    </w:p>
    <w:p>
      <w:pPr>
        <w:pStyle w:val="FirstParagraph"/>
      </w:pPr>
      <w:r>
        <w:rPr>
          <w:b/>
          <w:bCs/>
        </w:rPr>
        <w:t xml:space="preserve">Immediate next milestone:</w:t>
      </w:r>
      <w:r>
        <w:t xml:space="preserve"> </w:t>
      </w:r>
      <w:r>
        <w:rPr>
          <w:b/>
          <w:bCs/>
        </w:rPr>
        <w:t xml:space="preserve">M9 regime integration audit and consolidation</w:t>
      </w:r>
    </w:p>
    <w:p>
      <w:pPr>
        <w:pStyle w:val="BodyText"/>
      </w:pPr>
      <w:r>
        <w:t xml:space="preserve">This should not assume M9 is absent. It should audit what regime truth already exists from M8/M9-era code and docs, identify what is missing or inconsistent, and then fill only the reusable gaps. That is the safest way to honor both the platform-maturity recommendation and the evidence that the visible repo snapshot may lag the final M20 closeout. fileciteturn4file0</w:t>
      </w:r>
      <w:r>
        <w:t xml:space="preserve"> </w:t>
      </w:r>
      <w:hyperlink r:id="rId23">
        <w:r>
          <w:rPr>
            <w:rStyle w:val="Hyperlink"/>
          </w:rPr>
          <w:t xml:space="preserve">[2]</w:t>
        </w:r>
      </w:hyperlink>
    </w:p>
    <w:p>
      <w:pPr>
        <w:pStyle w:val="BodyText"/>
      </w:pPr>
      <w:r>
        <w:rPr>
          <w:b/>
          <w:bCs/>
        </w:rPr>
        <w:t xml:space="preserve">Why it is first:</w:t>
      </w:r>
      <w:r>
        <w:t xml:space="preserve"> </w:t>
      </w:r>
      <w:r>
        <w:t xml:space="preserve">it directly avoids fake-alpha loops, it uses an existing architectural axis that the literature supports, and it improves the platform’s ability to carry regime-conditioned logic, reporting, and eventually risk controls without reopening M20.</w:t>
      </w:r>
      <w:r>
        <w:t xml:space="preserve"> </w:t>
      </w:r>
      <w:hyperlink r:id="rId31">
        <w:r>
          <w:rPr>
            <w:rStyle w:val="Hyperlink"/>
          </w:rPr>
          <w:t xml:space="preserve">[9]</w:t>
        </w:r>
      </w:hyperlink>
    </w:p>
    <w:p>
      <w:pPr>
        <w:pStyle w:val="BodyText"/>
      </w:pPr>
      <w:r>
        <w:rPr>
          <w:b/>
          <w:bCs/>
        </w:rPr>
        <w:t xml:space="preserve">Next three implementation batches</w:t>
      </w:r>
    </w:p>
    <w:p>
      <w:pPr>
        <w:numPr>
          <w:ilvl w:val="0"/>
          <w:numId w:val="1001"/>
        </w:numPr>
      </w:pPr>
      <w:r>
        <w:rPr>
          <w:b/>
          <w:bCs/>
        </w:rPr>
        <w:t xml:space="preserve">Batch one — audit and contract.</w:t>
      </w:r>
      <w:r>
        <w:t xml:space="preserve"> </w:t>
      </w:r>
      <w:r>
        <w:t xml:space="preserve">Inventory existing regime-related configs, APIs, traces, schemas, and runtime surfaces. Write one canonical</w:t>
      </w:r>
      <w:r>
        <w:t xml:space="preserve"> </w:t>
      </w:r>
      <w:r>
        <w:rPr>
          <w:rStyle w:val="VerbatimChar"/>
        </w:rPr>
        <w:t xml:space="preserve">RegimeContext</w:t>
      </w:r>
      <w:r>
        <w:t xml:space="preserve"> </w:t>
      </w:r>
      <w:r>
        <w:t xml:space="preserve">contract with source, timestamp, freshness, stale/missing behavior, and explicit non-authority over M20 research artifacts.</w:t>
      </w:r>
      <w:r>
        <w:br/>
      </w:r>
      <w:r>
        <w:rPr>
          <w:b/>
          <w:bCs/>
        </w:rPr>
        <w:t xml:space="preserve">Acceptance criteria:</w:t>
      </w:r>
      <w:r>
        <w:t xml:space="preserve"> </w:t>
      </w:r>
      <w:r>
        <w:t xml:space="preserve">one reusable regime schema; stale/missing rules are fail-closed and tested; docs state M20 remains paused.</w:t>
      </w:r>
      <w:r>
        <w:br/>
      </w:r>
      <w:r>
        <w:rPr>
          <w:b/>
          <w:bCs/>
        </w:rPr>
        <w:t xml:space="preserve">Why:</w:t>
      </w:r>
      <w:r>
        <w:t xml:space="preserve"> </w:t>
      </w:r>
      <w:r>
        <w:t xml:space="preserve">this avoids re-implementing nominally existing surfaces and reduces platform-overengineering risk.</w:t>
      </w:r>
      <w:r>
        <w:t xml:space="preserve"> </w:t>
      </w:r>
      <w:hyperlink r:id="rId23">
        <w:r>
          <w:rPr>
            <w:rStyle w:val="Hyperlink"/>
          </w:rPr>
          <w:t xml:space="preserve">[2]</w:t>
        </w:r>
      </w:hyperlink>
    </w:p>
    <w:p>
      <w:pPr>
        <w:numPr>
          <w:ilvl w:val="0"/>
          <w:numId w:val="1001"/>
        </w:numPr>
      </w:pPr>
      <w:r>
        <w:rPr>
          <w:b/>
          <w:bCs/>
        </w:rPr>
        <w:t xml:space="preserve">Batch two — attach regime context consistently.</w:t>
      </w:r>
      <w:r>
        <w:t xml:space="preserve"> </w:t>
      </w:r>
      <w:r>
        <w:t xml:space="preserve">Add regime metadata to prediction, signal, trace, paper/shadow evaluation, and reporting surfaces where safe, plus grouped reporting by regime and clear visibility when regime truth is missing or stale.</w:t>
      </w:r>
      <w:r>
        <w:br/>
      </w:r>
      <w:r>
        <w:rPr>
          <w:b/>
          <w:bCs/>
        </w:rPr>
        <w:t xml:space="preserve">Acceptance criteria:</w:t>
      </w:r>
      <w:r>
        <w:t xml:space="preserve"> </w:t>
      </w:r>
      <w:r>
        <w:t xml:space="preserve">regime context visible in read surfaces and reports; no model semantics changed; no promotion or trading claims introduced.</w:t>
      </w:r>
      <w:r>
        <w:br/>
      </w:r>
      <w:r>
        <w:rPr>
          <w:b/>
          <w:bCs/>
        </w:rPr>
        <w:t xml:space="preserve">Why:</w:t>
      </w:r>
      <w:r>
        <w:t xml:space="preserve"> </w:t>
      </w:r>
      <w:r>
        <w:t xml:space="preserve">this is the smallest reusable maturity gain that is clearly downstream of the M20 lessons and upstream of M10 risk hardening.</w:t>
      </w:r>
      <w:r>
        <w:t xml:space="preserve"> </w:t>
      </w:r>
      <w:hyperlink r:id="rId23">
        <w:r>
          <w:rPr>
            <w:rStyle w:val="Hyperlink"/>
          </w:rPr>
          <w:t xml:space="preserve">[2]</w:t>
        </w:r>
      </w:hyperlink>
    </w:p>
    <w:p>
      <w:pPr>
        <w:numPr>
          <w:ilvl w:val="0"/>
          <w:numId w:val="1001"/>
        </w:numPr>
      </w:pPr>
      <w:r>
        <w:rPr>
          <w:b/>
          <w:bCs/>
        </w:rPr>
        <w:t xml:space="preserve">Batch three — M10 interface hardening.</w:t>
      </w:r>
      <w:r>
        <w:t xml:space="preserve"> </w:t>
      </w:r>
      <w:r>
        <w:t xml:space="preserve">Use the regime contract to harden the pre-trade risk/sizing interface and no-trade hooks without enabling live expansion or reopening M20. If the audit shows a real gap, add regime-conditioned risk inputs and explicit blocked-state truth.</w:t>
      </w:r>
      <w:r>
        <w:br/>
      </w:r>
      <w:r>
        <w:rPr>
          <w:b/>
          <w:bCs/>
        </w:rPr>
        <w:t xml:space="preserve">Acceptance criteria:</w:t>
      </w:r>
      <w:r>
        <w:t xml:space="preserve"> </w:t>
      </w:r>
      <w:r>
        <w:t xml:space="preserve">risk layer consumes canonical regime context cleanly; blocked/hold states are visible; live safeguards unchanged.</w:t>
      </w:r>
      <w:r>
        <w:br/>
      </w:r>
      <w:r>
        <w:rPr>
          <w:b/>
          <w:bCs/>
        </w:rPr>
        <w:t xml:space="preserve">Why:</w:t>
      </w:r>
      <w:r>
        <w:t xml:space="preserve"> </w:t>
      </w:r>
      <w:r>
        <w:t xml:space="preserve">this is the next dependency-consistent maturity step after M9 audit/gap-fill.</w:t>
      </w:r>
      <w:r>
        <w:t xml:space="preserve"> </w:t>
      </w:r>
      <w:hyperlink r:id="rId23">
        <w:r>
          <w:rPr>
            <w:rStyle w:val="Hyperlink"/>
          </w:rPr>
          <w:t xml:space="preserve">[2]</w:t>
        </w:r>
      </w:hyperlink>
    </w:p>
    <w:p>
      <w:pPr>
        <w:pStyle w:val="FirstParagraph"/>
      </w:pPr>
      <w:r>
        <w:rPr>
          <w:b/>
          <w:bCs/>
        </w:rPr>
        <w:t xml:space="preserve">Deferred work</w:t>
      </w:r>
    </w:p>
    <w:p>
      <w:pPr>
        <w:pStyle w:val="Compact"/>
        <w:numPr>
          <w:ilvl w:val="0"/>
          <w:numId w:val="1002"/>
        </w:numPr>
      </w:pPr>
      <w:r>
        <w:rPr>
          <w:b/>
          <w:bCs/>
        </w:rPr>
        <w:t xml:space="preserve">Live trading</w:t>
      </w:r>
      <w:r>
        <w:t xml:space="preserve"> </w:t>
      </w:r>
      <w:r>
        <w:t xml:space="preserve">—</w:t>
      </w:r>
      <w:r>
        <w:t xml:space="preserve"> </w:t>
      </w:r>
      <w:r>
        <w:rPr>
          <w:b/>
          <w:bCs/>
        </w:rPr>
        <w:t xml:space="preserve">defer / not now</w:t>
      </w:r>
      <w:r>
        <w:t xml:space="preserve">. M20 is explicitly not runtime-ready, and nothing in the current evidence justifies faster live expansion. fileciteturn4file0</w:t>
      </w:r>
    </w:p>
    <w:p>
      <w:pPr>
        <w:pStyle w:val="Compact"/>
        <w:numPr>
          <w:ilvl w:val="0"/>
          <w:numId w:val="1002"/>
        </w:numPr>
      </w:pPr>
      <w:r>
        <w:rPr>
          <w:b/>
          <w:bCs/>
        </w:rPr>
        <w:t xml:space="preserve">RL</w:t>
      </w:r>
      <w:r>
        <w:t xml:space="preserve"> </w:t>
      </w:r>
      <w:r>
        <w:t xml:space="preserve">—</w:t>
      </w:r>
      <w:r>
        <w:t xml:space="preserve"> </w:t>
      </w:r>
      <w:r>
        <w:rPr>
          <w:b/>
          <w:bCs/>
        </w:rPr>
        <w:t xml:space="preserve">not now</w:t>
      </w:r>
      <w:r>
        <w:t xml:space="preserve">. The recovery plan explicitly treats this as the wrong escalation after a clean M20 fail. fileciteturn4file1</w:t>
      </w:r>
    </w:p>
    <w:p>
      <w:pPr>
        <w:pStyle w:val="Compact"/>
        <w:numPr>
          <w:ilvl w:val="0"/>
          <w:numId w:val="1002"/>
        </w:numPr>
      </w:pPr>
      <w:r>
        <w:rPr>
          <w:b/>
          <w:bCs/>
        </w:rPr>
        <w:t xml:space="preserve">Sentiment/news trading</w:t>
      </w:r>
      <w:r>
        <w:t xml:space="preserve"> </w:t>
      </w:r>
      <w:r>
        <w:t xml:space="preserve">—</w:t>
      </w:r>
      <w:r>
        <w:t xml:space="preserve"> </w:t>
      </w:r>
      <w:r>
        <w:rPr>
          <w:b/>
          <w:bCs/>
        </w:rPr>
        <w:t xml:space="preserve">not now</w:t>
      </w:r>
      <w:r>
        <w:t xml:space="preserve">. Same reason: new research frontier, not the correct next response to this failure. fileciteturn4file1</w:t>
      </w:r>
    </w:p>
    <w:p>
      <w:pPr>
        <w:pStyle w:val="Compact"/>
        <w:numPr>
          <w:ilvl w:val="0"/>
          <w:numId w:val="1002"/>
        </w:numPr>
      </w:pPr>
      <w:r>
        <w:rPr>
          <w:b/>
          <w:bCs/>
        </w:rPr>
        <w:t xml:space="preserve">Market making</w:t>
      </w:r>
      <w:r>
        <w:t xml:space="preserve"> </w:t>
      </w:r>
      <w:r>
        <w:t xml:space="preserve">—</w:t>
      </w:r>
      <w:r>
        <w:t xml:space="preserve"> </w:t>
      </w:r>
      <w:r>
        <w:rPr>
          <w:b/>
          <w:bCs/>
        </w:rPr>
        <w:t xml:space="preserve">not now</w:t>
      </w:r>
      <w:r>
        <w:t xml:space="preserve">. This would be a different microstructure/execution project. fileciteturn4file1</w:t>
      </w:r>
    </w:p>
    <w:p>
      <w:pPr>
        <w:pStyle w:val="Compact"/>
        <w:numPr>
          <w:ilvl w:val="0"/>
          <w:numId w:val="1002"/>
        </w:numPr>
      </w:pPr>
      <w:r>
        <w:rPr>
          <w:b/>
          <w:bCs/>
        </w:rPr>
        <w:t xml:space="preserve">More NeuralForecast specialists</w:t>
      </w:r>
      <w:r>
        <w:t xml:space="preserve"> </w:t>
      </w:r>
      <w:r>
        <w:t xml:space="preserve">—</w:t>
      </w:r>
      <w:r>
        <w:t xml:space="preserve"> </w:t>
      </w:r>
      <w:r>
        <w:rPr>
          <w:b/>
          <w:bCs/>
        </w:rPr>
        <w:t xml:space="preserve">defer</w:t>
      </w:r>
      <w:r>
        <w:t xml:space="preserve">. No evidence that more NHITS/PatchTST grinding is the clean next move.</w:t>
      </w:r>
      <w:r>
        <w:t xml:space="preserve"> </w:t>
      </w:r>
      <w:hyperlink r:id="rId21">
        <w:r>
          <w:rPr>
            <w:rStyle w:val="Hyperlink"/>
          </w:rPr>
          <w:t xml:space="preserve">[1]</w:t>
        </w:r>
      </w:hyperlink>
    </w:p>
    <w:p>
      <w:pPr>
        <w:pStyle w:val="Compact"/>
        <w:numPr>
          <w:ilvl w:val="0"/>
          <w:numId w:val="1002"/>
        </w:numPr>
      </w:pPr>
      <w:r>
        <w:rPr>
          <w:b/>
          <w:bCs/>
        </w:rPr>
        <w:t xml:space="preserve">More V2 candidate tweaking</w:t>
      </w:r>
      <w:r>
        <w:t xml:space="preserve"> </w:t>
      </w:r>
      <w:r>
        <w:t xml:space="preserve">—</w:t>
      </w:r>
      <w:r>
        <w:t xml:space="preserve"> </w:t>
      </w:r>
      <w:r>
        <w:rPr>
          <w:b/>
          <w:bCs/>
        </w:rPr>
        <w:t xml:space="preserve">defer</w:t>
      </w:r>
      <w:r>
        <w:t xml:space="preserve">. Already exhausted by the artifact chain. fileciteturn4file0</w:t>
      </w:r>
    </w:p>
    <w:p>
      <w:pPr>
        <w:pStyle w:val="Compact"/>
        <w:numPr>
          <w:ilvl w:val="0"/>
          <w:numId w:val="1002"/>
        </w:numPr>
      </w:pPr>
      <w:r>
        <w:rPr>
          <w:b/>
          <w:bCs/>
        </w:rPr>
        <w:t xml:space="preserve">New model training</w:t>
      </w:r>
      <w:r>
        <w:t xml:space="preserve"> </w:t>
      </w:r>
      <w:r>
        <w:t xml:space="preserve">—</w:t>
      </w:r>
      <w:r>
        <w:t xml:space="preserve"> </w:t>
      </w:r>
      <w:r>
        <w:rPr>
          <w:b/>
          <w:bCs/>
        </w:rPr>
        <w:t xml:space="preserve">not now</w:t>
      </w:r>
      <w:r>
        <w:t xml:space="preserve">. Not until a new data family or truly new target/input justification exists.</w:t>
      </w:r>
      <w:r>
        <w:t xml:space="preserve"> </w:t>
      </w:r>
      <w:hyperlink r:id="rId21">
        <w:r>
          <w:rPr>
            <w:rStyle w:val="Hyperlink"/>
          </w:rPr>
          <w:t xml:space="preserve">[1]</w:t>
        </w:r>
      </w:hyperlink>
    </w:p>
    <w:p>
      <w:pPr>
        <w:pStyle w:val="Compact"/>
        <w:numPr>
          <w:ilvl w:val="0"/>
          <w:numId w:val="1002"/>
        </w:numPr>
      </w:pPr>
      <w:r>
        <w:rPr>
          <w:b/>
          <w:bCs/>
        </w:rPr>
        <w:t xml:space="preserve">Microstructure ingestion</w:t>
      </w:r>
      <w:r>
        <w:t xml:space="preserve"> </w:t>
      </w:r>
      <w:r>
        <w:t xml:space="preserve">—</w:t>
      </w:r>
      <w:r>
        <w:t xml:space="preserve"> </w:t>
      </w:r>
      <w:r>
        <w:rPr>
          <w:b/>
          <w:bCs/>
        </w:rPr>
        <w:t xml:space="preserve">plan-only / possible later</w:t>
      </w:r>
      <w:r>
        <w:t xml:space="preserve">. Strong candidate for any future M20b, but not the next implementation milestone.</w:t>
      </w:r>
      <w:r>
        <w:t xml:space="preserve"> </w:t>
      </w:r>
      <w:hyperlink r:id="rId21">
        <w:r>
          <w:rPr>
            <w:rStyle w:val="Hyperlink"/>
          </w:rPr>
          <w:t xml:space="preserve">[1]</w:t>
        </w:r>
      </w:hyperlink>
      <w:r>
        <w:t xml:space="preserve"> </w:t>
      </w:r>
      <w:hyperlink r:id="rId27">
        <w:r>
          <w:rPr>
            <w:rStyle w:val="Hyperlink"/>
          </w:rPr>
          <w:t xml:space="preserve">[10]</w:t>
        </w:r>
      </w:hyperlink>
    </w:p>
    <w:p>
      <w:pPr>
        <w:pStyle w:val="Compact"/>
        <w:numPr>
          <w:ilvl w:val="0"/>
          <w:numId w:val="1002"/>
        </w:numPr>
      </w:pPr>
      <w:r>
        <w:rPr>
          <w:b/>
          <w:bCs/>
        </w:rPr>
        <w:t xml:space="preserve">Order book features</w:t>
      </w:r>
      <w:r>
        <w:t xml:space="preserve"> </w:t>
      </w:r>
      <w:r>
        <w:t xml:space="preserve">—</w:t>
      </w:r>
      <w:r>
        <w:t xml:space="preserve"> </w:t>
      </w:r>
      <w:r>
        <w:rPr>
          <w:b/>
          <w:bCs/>
        </w:rPr>
        <w:t xml:space="preserve">plan-only / possible later</w:t>
      </w:r>
      <w:r>
        <w:t xml:space="preserve">. Same status as above.</w:t>
      </w:r>
      <w:r>
        <w:t xml:space="preserve"> </w:t>
      </w:r>
      <w:hyperlink r:id="rId21">
        <w:r>
          <w:rPr>
            <w:rStyle w:val="Hyperlink"/>
          </w:rPr>
          <w:t xml:space="preserve">[1]</w:t>
        </w:r>
      </w:hyperlink>
      <w:r>
        <w:t xml:space="preserve"> </w:t>
      </w:r>
      <w:hyperlink r:id="rId26">
        <w:r>
          <w:rPr>
            <w:rStyle w:val="Hyperlink"/>
          </w:rPr>
          <w:t xml:space="preserve">[11]</w:t>
        </w:r>
      </w:hyperlink>
    </w:p>
    <w:p>
      <w:pPr>
        <w:pStyle w:val="Compact"/>
        <w:numPr>
          <w:ilvl w:val="0"/>
          <w:numId w:val="1002"/>
        </w:numPr>
      </w:pPr>
      <w:r>
        <w:rPr>
          <w:b/>
          <w:bCs/>
        </w:rPr>
        <w:t xml:space="preserve">Execution-quality measurement</w:t>
      </w:r>
      <w:r>
        <w:t xml:space="preserve"> </w:t>
      </w:r>
      <w:r>
        <w:t xml:space="preserve">—</w:t>
      </w:r>
      <w:r>
        <w:t xml:space="preserve"> </w:t>
      </w:r>
      <w:r>
        <w:rPr>
          <w:b/>
          <w:bCs/>
        </w:rPr>
        <w:t xml:space="preserve">plan-only / possible later</w:t>
      </w:r>
      <w:r>
        <w:t xml:space="preserve">. Important for reopening M20, but not the next coding lane.</w:t>
      </w:r>
      <w:r>
        <w:t xml:space="preserve"> </w:t>
      </w:r>
      <w:hyperlink r:id="rId21">
        <w:r>
          <w:rPr>
            <w:rStyle w:val="Hyperlink"/>
          </w:rPr>
          <w:t xml:space="preserve">[1]</w:t>
        </w:r>
      </w:hyperlink>
      <w:r>
        <w:t xml:space="preserve"> </w:t>
      </w:r>
      <w:hyperlink r:id="rId36">
        <w:r>
          <w:rPr>
            <w:rStyle w:val="Hyperlink"/>
          </w:rPr>
          <w:t xml:space="preserve">[12]</w:t>
        </w:r>
      </w:hyperlink>
    </w:p>
    <w:p>
      <w:pPr>
        <w:pStyle w:val="Compact"/>
        <w:numPr>
          <w:ilvl w:val="0"/>
          <w:numId w:val="1002"/>
        </w:numPr>
      </w:pPr>
      <w:r>
        <w:rPr>
          <w:b/>
          <w:bCs/>
        </w:rPr>
        <w:t xml:space="preserve">Additional M20 labels or policies</w:t>
      </w:r>
      <w:r>
        <w:t xml:space="preserve"> </w:t>
      </w:r>
      <w:r>
        <w:t xml:space="preserve">—</w:t>
      </w:r>
      <w:r>
        <w:t xml:space="preserve"> </w:t>
      </w:r>
      <w:r>
        <w:rPr>
          <w:b/>
          <w:bCs/>
        </w:rPr>
        <w:t xml:space="preserve">defer</w:t>
      </w:r>
      <w:r>
        <w:t xml:space="preserve"> </w:t>
      </w:r>
      <w:r>
        <w:t xml:space="preserve">unless there is new data plus a predeclared untouched evaluation design.</w:t>
      </w:r>
      <w:r>
        <w:t xml:space="preserve"> </w:t>
      </w:r>
      <w:hyperlink r:id="rId21">
        <w:r>
          <w:rPr>
            <w:rStyle w:val="Hyperlink"/>
          </w:rPr>
          <w:t xml:space="preserve">[1]</w:t>
        </w:r>
      </w:hyperlink>
      <w:r>
        <w:t xml:space="preserve"> </w:t>
      </w:r>
      <w:hyperlink r:id="rId29">
        <w:r>
          <w:rPr>
            <w:rStyle w:val="Hyperlink"/>
          </w:rPr>
          <w:t xml:space="preserve">[13]</w:t>
        </w:r>
      </w:hyperlink>
    </w:p>
    <w:p>
      <w:pPr>
        <w:pStyle w:val="FirstParagraph"/>
      </w:pPr>
      <w:r>
        <w:rPr>
          <w:b/>
          <w:bCs/>
        </w:rPr>
        <w:t xml:space="preserve">What would change the route</w:t>
      </w:r>
    </w:p>
    <w:p>
      <w:pPr>
        <w:pStyle w:val="BodyText"/>
      </w:pPr>
      <w:r>
        <w:t xml:space="preserve">Only three things would justify re-scoping soon: first, evidence that the attached M20 closeout is wrong; second, access to materially richer same-venue microstructure/order-flow/execution-quality data; third, an audit showing that M9/M10/M11 are already honestly complete enough that the next real gap is elsewhere. Anything short of that should not dislodge the platform-maturity route.</w:t>
      </w:r>
      <w:r>
        <w:t xml:space="preserve"> </w:t>
      </w:r>
      <w:hyperlink r:id="rId21">
        <w:r>
          <w:rPr>
            <w:rStyle w:val="Hyperlink"/>
          </w:rPr>
          <w:t xml:space="preserve">[1]</w:t>
        </w:r>
      </w:hyperlink>
      <w:r>
        <w:t xml:space="preserve"> </w:t>
      </w:r>
      <w:hyperlink r:id="rId37">
        <w:r>
          <w:rPr>
            <w:rStyle w:val="Hyperlink"/>
          </w:rPr>
          <w:t xml:space="preserve">[14]</w:t>
        </w:r>
      </w:hyperlink>
    </w:p>
    <w:p>
      <w:pPr>
        <w:pStyle w:val="BodyText"/>
      </w:pPr>
      <w:r>
        <w:rPr>
          <w:b/>
          <w:bCs/>
        </w:rPr>
        <w:t xml:space="preserve">Stop conditions</w:t>
      </w:r>
    </w:p>
    <w:p>
      <w:pPr>
        <w:pStyle w:val="BodyText"/>
      </w:pPr>
      <w:r>
        <w:t xml:space="preserve">Stop and re-scope if the audit proves that M9 is already honestly complete, if the work would require reopening M20, if live-safety boundaries would be weakened, or if regime truth is too inconsistent to define one canonical contract. Those are healthy stopping points, not failures.</w:t>
      </w:r>
      <w:r>
        <w:t xml:space="preserve"> </w:t>
      </w:r>
      <w:hyperlink r:id="rId23">
        <w:r>
          <w:rPr>
            <w:rStyle w:val="Hyperlink"/>
          </w:rPr>
          <w:t xml:space="preserve">[2]</w:t>
        </w:r>
      </w:hyperlink>
    </w:p>
    <w:bookmarkEnd w:id="38"/>
    <w:bookmarkStart w:id="39" w:name="risks-and-anti-patterns"/>
    <w:p>
      <w:pPr>
        <w:pStyle w:val="Heading2"/>
      </w:pPr>
      <w:r>
        <w:t xml:space="preserve">Risks and anti-patterns</w:t>
      </w:r>
    </w:p>
    <w:p>
      <w:pPr>
        <w:pStyle w:val="FirstParagraph"/>
      </w:pPr>
      <w:r>
        <w:t xml:space="preserve">The biggest risk is</w:t>
      </w:r>
      <w:r>
        <w:t xml:space="preserve"> </w:t>
      </w:r>
      <w:r>
        <w:rPr>
          <w:b/>
          <w:bCs/>
        </w:rPr>
        <w:t xml:space="preserve">fake alpha resurrection</w:t>
      </w:r>
      <w:r>
        <w:t xml:space="preserve">: reading a negative M20 route as “almost ready” and using one more model, one more threshold, or one more label family to reverse a terminal decision. That is directly contrary to both the local closeout and the model-selection literature.</w:t>
      </w:r>
      <w:r>
        <w:t xml:space="preserve"> </w:t>
      </w:r>
      <w:hyperlink r:id="rId21">
        <w:r>
          <w:rPr>
            <w:rStyle w:val="Hyperlink"/>
          </w:rPr>
          <w:t xml:space="preserve">[1]</w:t>
        </w:r>
      </w:hyperlink>
      <w:r>
        <w:t xml:space="preserve"> </w:t>
      </w:r>
      <w:hyperlink r:id="rId29">
        <w:r>
          <w:rPr>
            <w:rStyle w:val="Hyperlink"/>
          </w:rPr>
          <w:t xml:space="preserve">[13]</w:t>
        </w:r>
      </w:hyperlink>
    </w:p>
    <w:p>
      <w:pPr>
        <w:pStyle w:val="BodyText"/>
      </w:pPr>
      <w:r>
        <w:t xml:space="preserve">The second risk is</w:t>
      </w:r>
      <w:r>
        <w:t xml:space="preserve"> </w:t>
      </w:r>
      <w:r>
        <w:rPr>
          <w:b/>
          <w:bCs/>
        </w:rPr>
        <w:t xml:space="preserve">search-breadth overfitting</w:t>
      </w:r>
      <w:r>
        <w:t xml:space="preserve">. Stream Alpha has already explored candidates, enriched candidates, refined candidates, policy evaluators, trading-aware labels, and input redesign. Another tuning pass on the same stack is more likely to increase false discovery risk than to produce a trustworthy edge. fileciteturn4file0</w:t>
      </w:r>
      <w:r>
        <w:t xml:space="preserve"> </w:t>
      </w:r>
      <w:hyperlink r:id="rId29">
        <w:r>
          <w:rPr>
            <w:rStyle w:val="Hyperlink"/>
          </w:rPr>
          <w:t xml:space="preserve">[15]</w:t>
        </w:r>
      </w:hyperlink>
    </w:p>
    <w:p>
      <w:pPr>
        <w:pStyle w:val="BodyText"/>
      </w:pPr>
      <w:r>
        <w:t xml:space="preserve">The third risk is</w:t>
      </w:r>
      <w:r>
        <w:t xml:space="preserve"> </w:t>
      </w:r>
      <w:r>
        <w:rPr>
          <w:b/>
          <w:bCs/>
        </w:rPr>
        <w:t xml:space="preserve">premature live-trading pressure</w:t>
      </w:r>
      <w:r>
        <w:t xml:space="preserve">. The current M20 closeout is explicitly not runtime-ready, not promotable, and not a backtest or profit claim. Treating the negative result as though it licenses live deployment would be scientifically and operationally wrong. fileciteturn4file0</w:t>
      </w:r>
      <w:r>
        <w:t xml:space="preserve"> </w:t>
      </w:r>
      <w:hyperlink r:id="rId21">
        <w:r>
          <w:rPr>
            <w:rStyle w:val="Hyperlink"/>
          </w:rPr>
          <w:t xml:space="preserve">[1]</w:t>
        </w:r>
      </w:hyperlink>
    </w:p>
    <w:p>
      <w:pPr>
        <w:pStyle w:val="BodyText"/>
      </w:pPr>
      <w:r>
        <w:t xml:space="preserve">The fourth risk is</w:t>
      </w:r>
      <w:r>
        <w:t xml:space="preserve"> </w:t>
      </w:r>
      <w:r>
        <w:rPr>
          <w:b/>
          <w:bCs/>
        </w:rPr>
        <w:t xml:space="preserve">platform overengineering</w:t>
      </w:r>
      <w:r>
        <w:t xml:space="preserve">. Because the repo snapshot and the local closeout are slightly out of sync, there is a real danger of rebuilding M9/M10 surfaces that already exist in some form. That is why the immediate step should be an audit and consolidation pass, not a greenfield implementation story. fileciteturn4file0</w:t>
      </w:r>
      <w:r>
        <w:t xml:space="preserve"> </w:t>
      </w:r>
      <w:hyperlink r:id="rId23">
        <w:r>
          <w:rPr>
            <w:rStyle w:val="Hyperlink"/>
          </w:rPr>
          <w:t xml:space="preserve">[2]</w:t>
        </w:r>
      </w:hyperlink>
    </w:p>
    <w:p>
      <w:pPr>
        <w:pStyle w:val="BodyText"/>
      </w:pPr>
      <w:r>
        <w:t xml:space="preserve">The fifth risk is</w:t>
      </w:r>
      <w:r>
        <w:t xml:space="preserve"> </w:t>
      </w:r>
      <w:r>
        <w:rPr>
          <w:b/>
          <w:bCs/>
        </w:rPr>
        <w:t xml:space="preserve">data-quality denial</w:t>
      </w:r>
      <w:r>
        <w:t xml:space="preserve">. The literature and your own artifact chain both point to the same conclusion: if M20 is ever reopened, it should likely be with richer order-flow, limit-order-book, liquidity, and execution-quality inputs, plus stricter untouched segments—not by pretending the current OHLC stack simply lacked one last clever feature.</w:t>
      </w:r>
      <w:r>
        <w:t xml:space="preserve"> </w:t>
      </w:r>
      <w:hyperlink r:id="rId21">
        <w:r>
          <w:rPr>
            <w:rStyle w:val="Hyperlink"/>
          </w:rPr>
          <w:t xml:space="preserve">[1]</w:t>
        </w:r>
      </w:hyperlink>
      <w:r>
        <w:t xml:space="preserve"> </w:t>
      </w:r>
      <w:hyperlink r:id="rId25">
        <w:r>
          <w:rPr>
            <w:rStyle w:val="Hyperlink"/>
          </w:rPr>
          <w:t xml:space="preserve">[16]</w:t>
        </w:r>
      </w:hyperlink>
    </w:p>
    <w:p>
      <w:pPr>
        <w:pStyle w:val="BodyText"/>
      </w:pPr>
      <w:r>
        <w:t xml:space="preserve">The sixth risk is the most specific one:</w:t>
      </w:r>
      <w:r>
        <w:t xml:space="preserve"> </w:t>
      </w:r>
      <w:r>
        <w:rPr>
          <w:b/>
          <w:bCs/>
        </w:rPr>
        <w:t xml:space="preserve">keeping M20 alive in spirit after it has been closed in writing</w:t>
      </w:r>
      <w:r>
        <w:t xml:space="preserve">. That would destroy the value of the negative result. For this project, preserving honest rejection is a feature, not a defeat. fileciteturn4file0</w:t>
      </w:r>
      <w:r>
        <w:t xml:space="preserve"> </w:t>
      </w:r>
      <w:hyperlink r:id="rId21">
        <w:r>
          <w:rPr>
            <w:rStyle w:val="Hyperlink"/>
          </w:rPr>
          <w:t xml:space="preserve">[1]</w:t>
        </w:r>
      </w:hyperlink>
    </w:p>
    <w:bookmarkEnd w:id="39"/>
    <w:bookmarkStart w:id="40" w:name="codexcursor-prompt"/>
    <w:p>
      <w:pPr>
        <w:pStyle w:val="Heading2"/>
      </w:pPr>
      <w:r>
        <w:t xml:space="preserve">Codex/Cursor prompt</w:t>
      </w:r>
    </w:p>
    <w:p>
      <w:pPr>
        <w:pStyle w:val="FirstParagraph"/>
      </w:pPr>
      <w:r>
        <w:t xml:space="preserve">Use this next:</w:t>
      </w:r>
    </w:p>
    <w:p>
      <w:pPr>
        <w:pStyle w:val="SourceCode"/>
      </w:pPr>
      <w:r>
        <w:rPr>
          <w:rStyle w:val="VerbatimChar"/>
        </w:rPr>
        <w:t xml:space="preserve">Project: Stream_Alpha</w:t>
      </w:r>
      <w:r>
        <w:br/>
      </w:r>
      <w:r>
        <w:rPr>
          <w:rStyle w:val="VerbatimChar"/>
        </w:rPr>
        <w:t xml:space="preserve">Repo: D:\Github\Stream_Alpha</w:t>
      </w:r>
      <w:r>
        <w:br/>
      </w:r>
      <w:r>
        <w:rPr>
          <w:rStyle w:val="VerbatimChar"/>
        </w:rPr>
        <w:t xml:space="preserve">Mode: platform-maturity continuation after M20 negative-result closeout</w:t>
      </w:r>
      <w:r>
        <w:br/>
      </w:r>
      <w:r>
        <w:rPr>
          <w:rStyle w:val="VerbatimChar"/>
        </w:rPr>
        <w:t xml:space="preserve">Output: compact but complete</w:t>
      </w:r>
      <w:r>
        <w:br/>
      </w:r>
      <w:r>
        <w:br/>
      </w:r>
      <w:r>
        <w:rPr>
          <w:rStyle w:val="VerbatimChar"/>
        </w:rPr>
        <w:t xml:space="preserve">Assume:</w:t>
      </w:r>
      <w:r>
        <w:br/>
      </w:r>
      <w:r>
        <w:rPr>
          <w:rStyle w:val="VerbatimChar"/>
        </w:rPr>
        <w:t xml:space="preserve">- M20 is paused as a terminal research-only negative result.</w:t>
      </w:r>
      <w:r>
        <w:br/>
      </w:r>
      <w:r>
        <w:rPr>
          <w:rStyle w:val="VerbatimChar"/>
        </w:rPr>
        <w:t xml:space="preserve">- Do not reopen M20.</w:t>
      </w:r>
      <w:r>
        <w:br/>
      </w:r>
      <w:r>
        <w:rPr>
          <w:rStyle w:val="VerbatimChar"/>
        </w:rPr>
        <w:t xml:space="preserve">- Do not add one-off candidate/model/policy/label/input tweaks.</w:t>
      </w:r>
      <w:r>
        <w:br/>
      </w:r>
      <w:r>
        <w:rPr>
          <w:rStyle w:val="VerbatimChar"/>
        </w:rPr>
        <w:t xml:space="preserve">- Do not train models.</w:t>
      </w:r>
      <w:r>
        <w:br/>
      </w:r>
      <w:r>
        <w:rPr>
          <w:rStyle w:val="VerbatimChar"/>
        </w:rPr>
        <w:t xml:space="preserve">- Do not run score-only inference for new research.</w:t>
      </w:r>
      <w:r>
        <w:br/>
      </w:r>
      <w:r>
        <w:rPr>
          <w:rStyle w:val="VerbatimChar"/>
        </w:rPr>
        <w:t xml:space="preserve">- Do not change promotion, registry authority, paper/live trading behavior, or make runtime/profit/backtest claims.</w:t>
      </w:r>
      <w:r>
        <w:br/>
      </w:r>
      <w:r>
        <w:br/>
      </w:r>
      <w:r>
        <w:rPr>
          <w:rStyle w:val="VerbatimChar"/>
        </w:rPr>
        <w:t xml:space="preserve">Current route goal:</w:t>
      </w:r>
      <w:r>
        <w:br/>
      </w:r>
      <w:r>
        <w:rPr>
          <w:rStyle w:val="VerbatimChar"/>
        </w:rPr>
        <w:t xml:space="preserve">Continue Stream Alpha through platform maturity, starting with an audit-first M9 regime integration consolidation pass.</w:t>
      </w:r>
      <w:r>
        <w:br/>
      </w:r>
      <w:r>
        <w:br/>
      </w:r>
      <w:r>
        <w:rPr>
          <w:rStyle w:val="VerbatimChar"/>
        </w:rPr>
        <w:t xml:space="preserve">Important nuance:</w:t>
      </w:r>
      <w:r>
        <w:br/>
      </w:r>
      <w:r>
        <w:rPr>
          <w:rStyle w:val="VerbatimChar"/>
        </w:rPr>
        <w:t xml:space="preserve">The repo may already contain partial or older M9/M10/M11 foundations and docs may lag the latest local M20 closeout.</w:t>
      </w:r>
      <w:r>
        <w:br/>
      </w:r>
      <w:r>
        <w:rPr>
          <w:rStyle w:val="VerbatimChar"/>
        </w:rPr>
        <w:t xml:space="preserve">Do not assume greenfield implementation.</w:t>
      </w:r>
      <w:r>
        <w:br/>
      </w:r>
      <w:r>
        <w:rPr>
          <w:rStyle w:val="VerbatimChar"/>
        </w:rPr>
        <w:t xml:space="preserve">Audit first, then implement only the missing reusable pieces.</w:t>
      </w:r>
      <w:r>
        <w:br/>
      </w:r>
      <w:r>
        <w:br/>
      </w:r>
      <w:r>
        <w:rPr>
          <w:rStyle w:val="VerbatimChar"/>
        </w:rPr>
        <w:t xml:space="preserve">Required work:</w:t>
      </w:r>
      <w:r>
        <w:br/>
      </w:r>
      <w:r>
        <w:br/>
      </w:r>
      <w:r>
        <w:rPr>
          <w:rStyle w:val="VerbatimChar"/>
        </w:rPr>
        <w:t xml:space="preserve">1. Audit existing platform surfaces relevant to regime integration</w:t>
      </w:r>
      <w:r>
        <w:br/>
      </w:r>
      <w:r>
        <w:rPr>
          <w:rStyle w:val="VerbatimChar"/>
        </w:rPr>
        <w:t xml:space="preserve">Inspect:</w:t>
      </w:r>
      <w:r>
        <w:br/>
      </w:r>
      <w:r>
        <w:rPr>
          <w:rStyle w:val="VerbatimChar"/>
        </w:rPr>
        <w:t xml:space="preserve">- app/regime/</w:t>
      </w:r>
      <w:r>
        <w:br/>
      </w:r>
      <w:r>
        <w:rPr>
          <w:rStyle w:val="VerbatimChar"/>
        </w:rPr>
        <w:t xml:space="preserve">- app/inference/</w:t>
      </w:r>
      <w:r>
        <w:br/>
      </w:r>
      <w:r>
        <w:rPr>
          <w:rStyle w:val="VerbatimChar"/>
        </w:rPr>
        <w:t xml:space="preserve">- app/trading/</w:t>
      </w:r>
      <w:r>
        <w:br/>
      </w:r>
      <w:r>
        <w:rPr>
          <w:rStyle w:val="VerbatimChar"/>
        </w:rPr>
        <w:t xml:space="preserve">- app/common/</w:t>
      </w:r>
      <w:r>
        <w:br/>
      </w:r>
      <w:r>
        <w:rPr>
          <w:rStyle w:val="VerbatimChar"/>
        </w:rPr>
        <w:t xml:space="preserve">- configs/</w:t>
      </w:r>
      <w:r>
        <w:br/>
      </w:r>
      <w:r>
        <w:rPr>
          <w:rStyle w:val="VerbatimChar"/>
        </w:rPr>
        <w:t xml:space="preserve">- scripts/</w:t>
      </w:r>
      <w:r>
        <w:br/>
      </w:r>
      <w:r>
        <w:rPr>
          <w:rStyle w:val="VerbatimChar"/>
        </w:rPr>
        <w:t xml:space="preserve">- tests/</w:t>
      </w:r>
      <w:r>
        <w:br/>
      </w:r>
      <w:r>
        <w:rPr>
          <w:rStyle w:val="VerbatimChar"/>
        </w:rPr>
        <w:t xml:space="preserve">- README.md</w:t>
      </w:r>
      <w:r>
        <w:br/>
      </w:r>
      <w:r>
        <w:rPr>
          <w:rStyle w:val="VerbatimChar"/>
        </w:rPr>
        <w:t xml:space="preserve">- docs/</w:t>
      </w:r>
      <w:r>
        <w:br/>
      </w:r>
      <w:r>
        <w:rPr>
          <w:rStyle w:val="VerbatimChar"/>
        </w:rPr>
        <w:t xml:space="preserve">- PLANS.md</w:t>
      </w:r>
      <w:r>
        <w:br/>
      </w:r>
      <w:r>
        <w:br/>
      </w:r>
      <w:r>
        <w:rPr>
          <w:rStyle w:val="VerbatimChar"/>
        </w:rPr>
        <w:t xml:space="preserve">Determine:</w:t>
      </w:r>
      <w:r>
        <w:br/>
      </w:r>
      <w:r>
        <w:rPr>
          <w:rStyle w:val="VerbatimChar"/>
        </w:rPr>
        <w:t xml:space="preserve">- what regime truth already exists</w:t>
      </w:r>
      <w:r>
        <w:br/>
      </w:r>
      <w:r>
        <w:rPr>
          <w:rStyle w:val="VerbatimChar"/>
        </w:rPr>
        <w:t xml:space="preserve">- where it is emitted</w:t>
      </w:r>
      <w:r>
        <w:br/>
      </w:r>
      <w:r>
        <w:rPr>
          <w:rStyle w:val="VerbatimChar"/>
        </w:rPr>
        <w:t xml:space="preserve">- where it is missing</w:t>
      </w:r>
      <w:r>
        <w:br/>
      </w:r>
      <w:r>
        <w:rPr>
          <w:rStyle w:val="VerbatimChar"/>
        </w:rPr>
        <w:t xml:space="preserve">- whether stale/missing handling already exists</w:t>
      </w:r>
      <w:r>
        <w:br/>
      </w:r>
      <w:r>
        <w:rPr>
          <w:rStyle w:val="VerbatimChar"/>
        </w:rPr>
        <w:t xml:space="preserve">- whether M9 is partially complete, effectively complete, or still materially incomplete</w:t>
      </w:r>
      <w:r>
        <w:br/>
      </w:r>
      <w:r>
        <w:rPr>
          <w:rStyle w:val="VerbatimChar"/>
        </w:rPr>
        <w:t xml:space="preserve">- what dependencies exist for M10 risk inputs and M11 execution metadata</w:t>
      </w:r>
      <w:r>
        <w:br/>
      </w:r>
      <w:r>
        <w:br/>
      </w:r>
      <w:r>
        <w:rPr>
          <w:rStyle w:val="VerbatimChar"/>
        </w:rPr>
        <w:t xml:space="preserve">2. Define one canonical RegimeContext contract</w:t>
      </w:r>
      <w:r>
        <w:br/>
      </w:r>
      <w:r>
        <w:rPr>
          <w:rStyle w:val="VerbatimChar"/>
        </w:rPr>
        <w:t xml:space="preserve">Create one reusable schema/model that covers:</w:t>
      </w:r>
      <w:r>
        <w:br/>
      </w:r>
      <w:r>
        <w:rPr>
          <w:rStyle w:val="VerbatimChar"/>
        </w:rPr>
        <w:t xml:space="preserve">- regime label</w:t>
      </w:r>
      <w:r>
        <w:br/>
      </w:r>
      <w:r>
        <w:rPr>
          <w:rStyle w:val="VerbatimChar"/>
        </w:rPr>
        <w:t xml:space="preserve">- source/version</w:t>
      </w:r>
      <w:r>
        <w:br/>
      </w:r>
      <w:r>
        <w:rPr>
          <w:rStyle w:val="VerbatimChar"/>
        </w:rPr>
        <w:t xml:space="preserve">- timestamp</w:t>
      </w:r>
      <w:r>
        <w:br/>
      </w:r>
      <w:r>
        <w:rPr>
          <w:rStyle w:val="VerbatimChar"/>
        </w:rPr>
        <w:t xml:space="preserve">- freshness/staleness</w:t>
      </w:r>
      <w:r>
        <w:br/>
      </w:r>
      <w:r>
        <w:rPr>
          <w:rStyle w:val="VerbatimChar"/>
        </w:rPr>
        <w:t xml:space="preserve">- missing-state handling</w:t>
      </w:r>
      <w:r>
        <w:br/>
      </w:r>
      <w:r>
        <w:rPr>
          <w:rStyle w:val="VerbatimChar"/>
        </w:rPr>
        <w:t xml:space="preserve">- safe fallback behavior</w:t>
      </w:r>
      <w:r>
        <w:br/>
      </w:r>
      <w:r>
        <w:rPr>
          <w:rStyle w:val="VerbatimChar"/>
        </w:rPr>
        <w:t xml:space="preserve">- explicit non-authority over paused M20 research artifacts</w:t>
      </w:r>
      <w:r>
        <w:br/>
      </w:r>
      <w:r>
        <w:br/>
      </w:r>
      <w:r>
        <w:rPr>
          <w:rStyle w:val="VerbatimChar"/>
        </w:rPr>
        <w:t xml:space="preserve">3. Implement only the missing M9 gap-fill pieces</w:t>
      </w:r>
      <w:r>
        <w:br/>
      </w:r>
      <w:r>
        <w:rPr>
          <w:rStyle w:val="VerbatimChar"/>
        </w:rPr>
        <w:t xml:space="preserve">As justified by the audit, add reusable support for:</w:t>
      </w:r>
      <w:r>
        <w:br/>
      </w:r>
      <w:r>
        <w:rPr>
          <w:rStyle w:val="VerbatimChar"/>
        </w:rPr>
        <w:t xml:space="preserve">- attaching regime metadata to prediction/signal/read surfaces</w:t>
      </w:r>
      <w:r>
        <w:br/>
      </w:r>
      <w:r>
        <w:rPr>
          <w:rStyle w:val="VerbatimChar"/>
        </w:rPr>
        <w:t xml:space="preserve">- attaching regime metadata to trace/evaluation/report records where safe</w:t>
      </w:r>
      <w:r>
        <w:br/>
      </w:r>
      <w:r>
        <w:rPr>
          <w:rStyle w:val="VerbatimChar"/>
        </w:rPr>
        <w:t xml:space="preserve">- stale/missing regime handling</w:t>
      </w:r>
      <w:r>
        <w:br/>
      </w:r>
      <w:r>
        <w:rPr>
          <w:rStyle w:val="VerbatimChar"/>
        </w:rPr>
        <w:t xml:space="preserve">- regime-conditioned reporting helpers</w:t>
      </w:r>
      <w:r>
        <w:br/>
      </w:r>
      <w:r>
        <w:rPr>
          <w:rStyle w:val="VerbatimChar"/>
        </w:rPr>
        <w:t xml:space="preserve">- tests covering present/missing/stale regime cases</w:t>
      </w:r>
      <w:r>
        <w:br/>
      </w:r>
      <w:r>
        <w:br/>
      </w:r>
      <w:r>
        <w:rPr>
          <w:rStyle w:val="VerbatimChar"/>
        </w:rPr>
        <w:t xml:space="preserve">4. Prepare M10 interface readiness only where needed</w:t>
      </w:r>
      <w:r>
        <w:br/>
      </w:r>
      <w:r>
        <w:rPr>
          <w:rStyle w:val="VerbatimChar"/>
        </w:rPr>
        <w:t xml:space="preserve">If the audit shows clear gaps, add small reusable risk-interface readiness pieces so regime-aware signal context can cleanly feed the authoritative risk layer.</w:t>
      </w:r>
      <w:r>
        <w:br/>
      </w:r>
      <w:r>
        <w:rPr>
          <w:rStyle w:val="VerbatimChar"/>
        </w:rPr>
        <w:t xml:space="preserve">Do not expand live execution.</w:t>
      </w:r>
      <w:r>
        <w:br/>
      </w:r>
      <w:r>
        <w:rPr>
          <w:rStyle w:val="VerbatimChar"/>
        </w:rPr>
        <w:t xml:space="preserve">Do not change trading decisions.</w:t>
      </w:r>
      <w:r>
        <w:br/>
      </w:r>
      <w:r>
        <w:rPr>
          <w:rStyle w:val="VerbatimChar"/>
        </w:rPr>
        <w:t xml:space="preserve">Do not enable new paper/live behavior.</w:t>
      </w:r>
      <w:r>
        <w:br/>
      </w:r>
      <w:r>
        <w:br/>
      </w:r>
      <w:r>
        <w:rPr>
          <w:rStyle w:val="VerbatimChar"/>
        </w:rPr>
        <w:t xml:space="preserve">5. Optional planning-only note</w:t>
      </w:r>
      <w:r>
        <w:br/>
      </w:r>
      <w:r>
        <w:rPr>
          <w:rStyle w:val="VerbatimChar"/>
        </w:rPr>
        <w:t xml:space="preserve">If small and safe, write a short planning-only future M20 data-upgrade note capturing:</w:t>
      </w:r>
      <w:r>
        <w:br/>
      </w:r>
      <w:r>
        <w:rPr>
          <w:rStyle w:val="VerbatimChar"/>
        </w:rPr>
        <w:t xml:space="preserve">- order book / microstructure</w:t>
      </w:r>
      <w:r>
        <w:br/>
      </w:r>
      <w:r>
        <w:rPr>
          <w:rStyle w:val="VerbatimChar"/>
        </w:rPr>
        <w:t xml:space="preserve">- spread/liquidity</w:t>
      </w:r>
      <w:r>
        <w:br/>
      </w:r>
      <w:r>
        <w:rPr>
          <w:rStyle w:val="VerbatimChar"/>
        </w:rPr>
        <w:t xml:space="preserve">- trade-flow imbalance</w:t>
      </w:r>
      <w:r>
        <w:br/>
      </w:r>
      <w:r>
        <w:rPr>
          <w:rStyle w:val="VerbatimChar"/>
        </w:rPr>
        <w:t xml:space="preserve">- same-venue execution-quality measurements</w:t>
      </w:r>
      <w:r>
        <w:br/>
      </w:r>
      <w:r>
        <w:rPr>
          <w:rStyle w:val="VerbatimChar"/>
        </w:rPr>
        <w:t xml:space="preserve">- stricter untouched segments</w:t>
      </w:r>
      <w:r>
        <w:br/>
      </w:r>
      <w:r>
        <w:rPr>
          <w:rStyle w:val="VerbatimChar"/>
        </w:rPr>
        <w:t xml:space="preserve">- lower-turnover event labels</w:t>
      </w:r>
      <w:r>
        <w:br/>
      </w:r>
      <w:r>
        <w:br/>
      </w:r>
      <w:r>
        <w:rPr>
          <w:rStyle w:val="VerbatimChar"/>
        </w:rPr>
        <w:t xml:space="preserve">This note must remain planning-only.</w:t>
      </w:r>
      <w:r>
        <w:br/>
      </w:r>
      <w:r>
        <w:rPr>
          <w:rStyle w:val="VerbatimChar"/>
        </w:rPr>
        <w:t xml:space="preserve">No ingestion, no labels, no training, no scoring, no runtime changes.</w:t>
      </w:r>
      <w:r>
        <w:br/>
      </w:r>
      <w:r>
        <w:br/>
      </w:r>
      <w:r>
        <w:rPr>
          <w:rStyle w:val="VerbatimChar"/>
        </w:rPr>
        <w:t xml:space="preserve">Rules:</w:t>
      </w:r>
      <w:r>
        <w:br/>
      </w:r>
      <w:r>
        <w:rPr>
          <w:rStyle w:val="VerbatimChar"/>
        </w:rPr>
        <w:t xml:space="preserve">- Follow AGENTS.md.</w:t>
      </w:r>
      <w:r>
        <w:br/>
      </w:r>
      <w:r>
        <w:rPr>
          <w:rStyle w:val="VerbatimChar"/>
        </w:rPr>
        <w:t xml:space="preserve">- No M20 reopening.</w:t>
      </w:r>
      <w:r>
        <w:br/>
      </w:r>
      <w:r>
        <w:rPr>
          <w:rStyle w:val="VerbatimChar"/>
        </w:rPr>
        <w:t xml:space="preserve">- No one-off alpha rescue work.</w:t>
      </w:r>
      <w:r>
        <w:br/>
      </w:r>
      <w:r>
        <w:rPr>
          <w:rStyle w:val="VerbatimChar"/>
        </w:rPr>
        <w:t xml:space="preserve">- No training.</w:t>
      </w:r>
      <w:r>
        <w:br/>
      </w:r>
      <w:r>
        <w:rPr>
          <w:rStyle w:val="VerbatimChar"/>
        </w:rPr>
        <w:t xml:space="preserve">- No new research scoring.</w:t>
      </w:r>
      <w:r>
        <w:br/>
      </w:r>
      <w:r>
        <w:rPr>
          <w:rStyle w:val="VerbatimChar"/>
        </w:rPr>
        <w:t xml:space="preserve">- No registry changes.</w:t>
      </w:r>
      <w:r>
        <w:br/>
      </w:r>
      <w:r>
        <w:rPr>
          <w:rStyle w:val="VerbatimChar"/>
        </w:rPr>
        <w:t xml:space="preserve">- No promotion changes.</w:t>
      </w:r>
      <w:r>
        <w:br/>
      </w:r>
      <w:r>
        <w:rPr>
          <w:rStyle w:val="VerbatimChar"/>
        </w:rPr>
        <w:t xml:space="preserve">- No paper/live trading changes.</w:t>
      </w:r>
      <w:r>
        <w:br/>
      </w:r>
      <w:r>
        <w:rPr>
          <w:rStyle w:val="VerbatimChar"/>
        </w:rPr>
        <w:t xml:space="preserve">- No profit claims.</w:t>
      </w:r>
      <w:r>
        <w:br/>
      </w:r>
      <w:r>
        <w:rPr>
          <w:rStyle w:val="VerbatimChar"/>
        </w:rPr>
        <w:t xml:space="preserve">- No backtest claims.</w:t>
      </w:r>
      <w:r>
        <w:br/>
      </w:r>
      <w:r>
        <w:rPr>
          <w:rStyle w:val="VerbatimChar"/>
        </w:rPr>
        <w:t xml:space="preserve">- Keep changes small, testable, and reversible.</w:t>
      </w:r>
      <w:r>
        <w:br/>
      </w:r>
      <w:r>
        <w:rPr>
          <w:rStyle w:val="VerbatimChar"/>
        </w:rPr>
        <w:t xml:space="preserve">- If the audit shows M9 is already honestly complete, stop and recommend the highest unfinished platform-maturity gap instead of inventing duplicate work.</w:t>
      </w:r>
      <w:r>
        <w:br/>
      </w:r>
      <w:r>
        <w:br/>
      </w:r>
      <w:r>
        <w:rPr>
          <w:rStyle w:val="VerbatimChar"/>
        </w:rPr>
        <w:t xml:space="preserve">Validation:</w:t>
      </w:r>
      <w:r>
        <w:br/>
      </w:r>
      <w:r>
        <w:rPr>
          <w:rStyle w:val="VerbatimChar"/>
        </w:rPr>
        <w:t xml:space="preserve">- targeted pytest for changed tests</w:t>
      </w:r>
      <w:r>
        <w:br/>
      </w:r>
      <w:r>
        <w:rPr>
          <w:rStyle w:val="VerbatimChar"/>
        </w:rPr>
        <w:t xml:space="preserve">- py_compile for changed app/script files</w:t>
      </w:r>
      <w:r>
        <w:br/>
      </w:r>
      <w:r>
        <w:rPr>
          <w:rStyle w:val="VerbatimChar"/>
        </w:rPr>
        <w:t xml:space="preserve">- pylint --fail-under=10 for changed app/test files</w:t>
      </w:r>
      <w:r>
        <w:br/>
      </w:r>
      <w:r>
        <w:rPr>
          <w:rStyle w:val="VerbatimChar"/>
        </w:rPr>
        <w:t xml:space="preserve">- git diff --check</w:t>
      </w:r>
      <w:r>
        <w:br/>
      </w:r>
      <w:r>
        <w:br/>
      </w:r>
      <w:r>
        <w:rPr>
          <w:rStyle w:val="VerbatimChar"/>
        </w:rPr>
        <w:t xml:space="preserve">End with:</w:t>
      </w:r>
      <w:r>
        <w:br/>
      </w:r>
      <w:r>
        <w:rPr>
          <w:rStyle w:val="VerbatimChar"/>
        </w:rPr>
        <w:t xml:space="preserve">- changed_files</w:t>
      </w:r>
      <w:r>
        <w:br/>
      </w:r>
      <w:r>
        <w:rPr>
          <w:rStyle w:val="VerbatimChar"/>
        </w:rPr>
        <w:t xml:space="preserve">- source_docs_tests_safe_to_commit</w:t>
      </w:r>
      <w:r>
        <w:br/>
      </w:r>
      <w:r>
        <w:rPr>
          <w:rStyle w:val="VerbatimChar"/>
        </w:rPr>
        <w:t xml:space="preserve">- regime_audit_summary</w:t>
      </w:r>
      <w:r>
        <w:br/>
      </w:r>
      <w:r>
        <w:rPr>
          <w:rStyle w:val="VerbatimChar"/>
        </w:rPr>
        <w:t xml:space="preserve">- regime_contract_summary</w:t>
      </w:r>
      <w:r>
        <w:br/>
      </w:r>
      <w:r>
        <w:rPr>
          <w:rStyle w:val="VerbatimChar"/>
        </w:rPr>
        <w:t xml:space="preserve">- implemented_gap_fills</w:t>
      </w:r>
      <w:r>
        <w:br/>
      </w:r>
      <w:r>
        <w:rPr>
          <w:rStyle w:val="VerbatimChar"/>
        </w:rPr>
        <w:t xml:space="preserve">- deferred_items</w:t>
      </w:r>
      <w:r>
        <w:br/>
      </w:r>
      <w:r>
        <w:rPr>
          <w:rStyle w:val="VerbatimChar"/>
        </w:rPr>
        <w:t xml:space="preserve">- blockers</w:t>
      </w:r>
      <w:r>
        <w:br/>
      </w:r>
      <w:r>
        <w:rPr>
          <w:rStyle w:val="VerbatimChar"/>
        </w:rPr>
        <w:t xml:space="preserve">- recommendation</w:t>
      </w:r>
      <w:r>
        <w:br/>
      </w:r>
      <w:r>
        <w:rPr>
          <w:rStyle w:val="VerbatimChar"/>
        </w:rPr>
        <w:t xml:space="preserve">- next_required_action</w:t>
      </w:r>
      <w:r>
        <w:br/>
      </w:r>
      <w:r>
        <w:rPr>
          <w:rStyle w:val="VerbatimChar"/>
        </w:rPr>
        <w:t xml:space="preserve">- validation_summary</w:t>
      </w:r>
      <w:r>
        <w:br/>
      </w:r>
      <w:r>
        <w:rPr>
          <w:rStyle w:val="VerbatimChar"/>
        </w:rPr>
        <w:t xml:space="preserve">- commit_status</w:t>
      </w:r>
    </w:p>
    <w:bookmarkEnd w:id="40"/>
    <w:bookmarkEnd w:id="41"/>
    <w:bookmarkEnd w:id="42"/>
    <w:p>
      <w:r>
        <w:pict>
          <v:rect style="width:0;height:1.5pt" o:hralign="center" o:hrstd="t" o:hr="t"/>
        </w:pict>
      </w:r>
    </w:p>
    <w:bookmarkStart w:id="43" w:name="citations"/>
    <w:p>
      <w:pPr>
        <w:pStyle w:val="FirstParagraph"/>
      </w:pPr>
      <w:hyperlink r:id="rId21">
        <w:r>
          <w:rPr>
            <w:rStyle w:val="Hyperlink"/>
          </w:rPr>
          <w:t xml:space="preserve">[1]</w:t>
        </w:r>
      </w:hyperlink>
      <w:r>
        <w:t xml:space="preserve"> </w:t>
      </w:r>
      <w:r>
        <w:t xml:space="preserve">m20_final_research_summary.py</w:t>
      </w:r>
    </w:p>
    <w:p>
      <w:pPr>
        <w:pStyle w:val="BodyText"/>
      </w:pPr>
      <w:hyperlink r:id="rId21">
        <w:r>
          <w:rPr>
            <w:rStyle w:val="Hyperlink"/>
          </w:rPr>
          <w:t xml:space="preserve">https://github.com/Arashmehrdad/Stream_Alpha/blob/master/app/training/m20_final_research_summary.py</w:t>
        </w:r>
      </w:hyperlink>
    </w:p>
    <w:p>
      <w:pPr>
        <w:pStyle w:val="BodyText"/>
      </w:pPr>
      <w:hyperlink r:id="rId23">
        <w:r>
          <w:rPr>
            <w:rStyle w:val="Hyperlink"/>
          </w:rPr>
          <w:t xml:space="preserve">[2]</w:t>
        </w:r>
      </w:hyperlink>
      <w:r>
        <w:t xml:space="preserve"> </w:t>
      </w:r>
      <w:r>
        <w:t xml:space="preserve">README.md</w:t>
      </w:r>
    </w:p>
    <w:p>
      <w:pPr>
        <w:pStyle w:val="BodyText"/>
      </w:pPr>
      <w:hyperlink r:id="rId23">
        <w:r>
          <w:rPr>
            <w:rStyle w:val="Hyperlink"/>
          </w:rPr>
          <w:t xml:space="preserve">https://github.com/Arashmehrdad/Stream_Alpha/blob/master/README.md</w:t>
        </w:r>
      </w:hyperlink>
    </w:p>
    <w:p>
      <w:pPr>
        <w:pStyle w:val="BodyText"/>
      </w:pPr>
      <w:hyperlink r:id="rId25">
        <w:r>
          <w:rPr>
            <w:rStyle w:val="Hyperlink"/>
          </w:rPr>
          <w:t xml:space="preserve">[3]</w:t>
        </w:r>
      </w:hyperlink>
      <w:r>
        <w:t xml:space="preserve"> </w:t>
      </w:r>
      <w:hyperlink r:id="rId25">
        <w:r>
          <w:rPr>
            <w:rStyle w:val="Hyperlink"/>
          </w:rPr>
          <w:t xml:space="preserve">[16]</w:t>
        </w:r>
      </w:hyperlink>
      <w:r>
        <w:t xml:space="preserve"> </w:t>
      </w:r>
      <w:r>
        <w:t xml:space="preserve">Algorithmic crypto trading using information-driven bars, triple barrier labeling and deep learning | Financial Innovation | Springer Nature Link</w:t>
      </w:r>
    </w:p>
    <w:p>
      <w:pPr>
        <w:pStyle w:val="BodyText"/>
      </w:pPr>
      <w:hyperlink r:id="rId25">
        <w:r>
          <w:rPr>
            <w:rStyle w:val="Hyperlink"/>
          </w:rPr>
          <w:t xml:space="preserve">https://link.springer.com/article/10.1186/s40854-025-00866-w?utm_source=chatgpt.com</w:t>
        </w:r>
      </w:hyperlink>
    </w:p>
    <w:p>
      <w:pPr>
        <w:pStyle w:val="BodyText"/>
      </w:pPr>
      <w:hyperlink r:id="rId26">
        <w:r>
          <w:rPr>
            <w:rStyle w:val="Hyperlink"/>
          </w:rPr>
          <w:t xml:space="preserve">[4]</w:t>
        </w:r>
      </w:hyperlink>
      <w:r>
        <w:t xml:space="preserve"> </w:t>
      </w:r>
      <w:hyperlink r:id="rId26">
        <w:r>
          <w:rPr>
            <w:rStyle w:val="Hyperlink"/>
          </w:rPr>
          <w:t xml:space="preserve">[11]</w:t>
        </w:r>
      </w:hyperlink>
      <w:r>
        <w:t xml:space="preserve"> </w:t>
      </w:r>
      <w:r>
        <w:t xml:space="preserve">Deep limit order book forecasting: a microstructural guide</w:t>
      </w:r>
    </w:p>
    <w:p>
      <w:pPr>
        <w:pStyle w:val="BodyText"/>
      </w:pPr>
      <w:hyperlink r:id="rId26">
        <w:r>
          <w:rPr>
            <w:rStyle w:val="Hyperlink"/>
          </w:rPr>
          <w:t xml:space="preserve">https://researchonline.lse.ac.uk/128950?utm_source=chatgpt.com</w:t>
        </w:r>
      </w:hyperlink>
    </w:p>
    <w:p>
      <w:pPr>
        <w:pStyle w:val="BodyText"/>
      </w:pPr>
      <w:hyperlink r:id="rId27">
        <w:r>
          <w:rPr>
            <w:rStyle w:val="Hyperlink"/>
          </w:rPr>
          <w:t xml:space="preserve">[5]</w:t>
        </w:r>
      </w:hyperlink>
      <w:r>
        <w:t xml:space="preserve"> </w:t>
      </w:r>
      <w:hyperlink r:id="rId27">
        <w:r>
          <w:rPr>
            <w:rStyle w:val="Hyperlink"/>
          </w:rPr>
          <w:t xml:space="preserve">[10]</w:t>
        </w:r>
      </w:hyperlink>
      <w:r>
        <w:t xml:space="preserve"> </w:t>
      </w:r>
      <w:r>
        <w:t xml:space="preserve">Deep Learning for Digital Asset Limit Order Books</w:t>
      </w:r>
    </w:p>
    <w:p>
      <w:pPr>
        <w:pStyle w:val="BodyText"/>
      </w:pPr>
      <w:hyperlink r:id="rId27">
        <w:r>
          <w:rPr>
            <w:rStyle w:val="Hyperlink"/>
          </w:rPr>
          <w:t xml:space="preserve">https://ideas.repec.org/p/arx/papers/2010.01241.html?utm_source=chatgpt.com</w:t>
        </w:r>
      </w:hyperlink>
    </w:p>
    <w:p>
      <w:pPr>
        <w:pStyle w:val="BodyText"/>
      </w:pPr>
      <w:hyperlink r:id="rId28">
        <w:r>
          <w:rPr>
            <w:rStyle w:val="Hyperlink"/>
          </w:rPr>
          <w:t xml:space="preserve">[6]</w:t>
        </w:r>
      </w:hyperlink>
      <w:r>
        <w:t xml:space="preserve"> </w:t>
      </w:r>
      <w:r>
        <w:t xml:space="preserve">How to measure the liquidity of cryptocurrency markets? - ScienceDirect</w:t>
      </w:r>
    </w:p>
    <w:p>
      <w:pPr>
        <w:pStyle w:val="BodyText"/>
      </w:pPr>
      <w:hyperlink r:id="rId28">
        <w:r>
          <w:rPr>
            <w:rStyle w:val="Hyperlink"/>
          </w:rPr>
          <w:t xml:space="preserve">https://www.sciencedirect.com/science/article/pii/S0378426620303022?utm_source=chatgpt.com</w:t>
        </w:r>
      </w:hyperlink>
    </w:p>
    <w:p>
      <w:pPr>
        <w:pStyle w:val="BodyText"/>
      </w:pPr>
      <w:hyperlink r:id="rId29">
        <w:r>
          <w:rPr>
            <w:rStyle w:val="Hyperlink"/>
          </w:rPr>
          <w:t xml:space="preserve">[7]</w:t>
        </w:r>
      </w:hyperlink>
      <w:r>
        <w:t xml:space="preserve"> </w:t>
      </w:r>
      <w:hyperlink r:id="rId29">
        <w:r>
          <w:rPr>
            <w:rStyle w:val="Hyperlink"/>
          </w:rPr>
          <w:t xml:space="preserve">[13]</w:t>
        </w:r>
      </w:hyperlink>
      <w:r>
        <w:t xml:space="preserve"> </w:t>
      </w:r>
      <w:hyperlink r:id="rId29">
        <w:r>
          <w:rPr>
            <w:rStyle w:val="Hyperlink"/>
          </w:rPr>
          <w:t xml:space="preserve">[15]</w:t>
        </w:r>
      </w:hyperlink>
      <w:r>
        <w:t xml:space="preserve"> </w:t>
      </w:r>
      <w:r>
        <w:t xml:space="preserve">The probability of backtest overfitting - Journal of Computational Finance</w:t>
      </w:r>
    </w:p>
    <w:p>
      <w:pPr>
        <w:pStyle w:val="BodyText"/>
      </w:pPr>
      <w:hyperlink r:id="rId29">
        <w:r>
          <w:rPr>
            <w:rStyle w:val="Hyperlink"/>
          </w:rPr>
          <w:t xml:space="preserve">https://www.risk.net/journal-of-computational-finance/2471206/the-probability-of-backtest-overfitting?utm_source=chatgpt.com</w:t>
        </w:r>
      </w:hyperlink>
    </w:p>
    <w:p>
      <w:pPr>
        <w:pStyle w:val="BodyText"/>
      </w:pPr>
      <w:hyperlink r:id="rId30">
        <w:r>
          <w:rPr>
            <w:rStyle w:val="Hyperlink"/>
          </w:rPr>
          <w:t xml:space="preserve">[8]</w:t>
        </w:r>
      </w:hyperlink>
      <w:r>
        <w:t xml:space="preserve"> </w:t>
      </w:r>
      <w:r>
        <w:t xml:space="preserve">EconPapers: Are simple technical trading rules profitable in bitcoin markets?</w:t>
      </w:r>
    </w:p>
    <w:p>
      <w:pPr>
        <w:pStyle w:val="BodyText"/>
      </w:pPr>
      <w:hyperlink r:id="rId30">
        <w:r>
          <w:rPr>
            <w:rStyle w:val="Hyperlink"/>
          </w:rPr>
          <w:t xml:space="preserve">https://econpapers.repec.org/RePEc%3Aeee%3Areveco%3Av%3A93%3Ay%3A2024%3Ai%3Apb%3Ap%3A858-874?utm_source=chatgpt.com</w:t>
        </w:r>
      </w:hyperlink>
    </w:p>
    <w:p>
      <w:pPr>
        <w:pStyle w:val="BodyText"/>
      </w:pPr>
      <w:hyperlink r:id="rId31">
        <w:r>
          <w:rPr>
            <w:rStyle w:val="Hyperlink"/>
          </w:rPr>
          <w:t xml:space="preserve">[9]</w:t>
        </w:r>
      </w:hyperlink>
      <w:r>
        <w:t xml:space="preserve"> </w:t>
      </w:r>
      <w:r>
        <w:t xml:space="preserve">Regime switches and commonalities of the cryptocurrencies asset class - ScienceDirect</w:t>
      </w:r>
    </w:p>
    <w:p>
      <w:pPr>
        <w:pStyle w:val="BodyText"/>
      </w:pPr>
      <w:hyperlink r:id="rId31">
        <w:r>
          <w:rPr>
            <w:rStyle w:val="Hyperlink"/>
          </w:rPr>
          <w:t xml:space="preserve">https://www.sciencedirect.com/science/article/pii/S1062940821000577?utm_source=chatgpt.com</w:t>
        </w:r>
      </w:hyperlink>
    </w:p>
    <w:p>
      <w:pPr>
        <w:pStyle w:val="BodyText"/>
      </w:pPr>
      <w:hyperlink r:id="rId36">
        <w:r>
          <w:rPr>
            <w:rStyle w:val="Hyperlink"/>
          </w:rPr>
          <w:t xml:space="preserve">[12]</w:t>
        </w:r>
      </w:hyperlink>
      <w:r>
        <w:t xml:space="preserve"> </w:t>
      </w:r>
      <w:r>
        <w:t xml:space="preserve">EconPapers: Bridging the Reality Gap in Limit Order Book Simulation</w:t>
      </w:r>
    </w:p>
    <w:p>
      <w:pPr>
        <w:pStyle w:val="BodyText"/>
      </w:pPr>
      <w:hyperlink r:id="rId36">
        <w:r>
          <w:rPr>
            <w:rStyle w:val="Hyperlink"/>
          </w:rPr>
          <w:t xml:space="preserve">https://econpapers.repec.org/RePEc%3Aarx%3Apapers%3A2603.24137?utm_source=chatgpt.com</w:t>
        </w:r>
      </w:hyperlink>
    </w:p>
    <w:p>
      <w:pPr>
        <w:pStyle w:val="BodyText"/>
      </w:pPr>
      <w:hyperlink r:id="rId37">
        <w:r>
          <w:rPr>
            <w:rStyle w:val="Hyperlink"/>
          </w:rPr>
          <w:t xml:space="preserve">[14]</w:t>
        </w:r>
      </w:hyperlink>
      <w:r>
        <w:t xml:space="preserve"> </w:t>
      </w:r>
      <w:r>
        <w:t xml:space="preserve">Order flow and cryptocurrency returns - ScienceDirect</w:t>
      </w:r>
    </w:p>
    <w:p>
      <w:pPr>
        <w:pStyle w:val="BodyText"/>
      </w:pPr>
      <w:hyperlink r:id="rId37">
        <w:r>
          <w:rPr>
            <w:rStyle w:val="Hyperlink"/>
          </w:rPr>
          <w:t xml:space="preserve">https://www.sciencedirect.com/science/article/pii/S1386418126000029?utm_source=chatgpt.com</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econpapers.repec.org/RePEc%3Aarx%3Apapers%3A2603.24137?utm_source=chatgpt.com" TargetMode="External" /><Relationship Type="http://schemas.openxmlformats.org/officeDocument/2006/relationships/hyperlink" Id="rId30" Target="https://econpapers.repec.org/RePEc%3Aeee%3Areveco%3Av%3A93%3Ay%3A2024%3Ai%3Apb%3Ap%3A858-874?utm_source=chatgpt.com" TargetMode="External" /><Relationship Type="http://schemas.openxmlformats.org/officeDocument/2006/relationships/hyperlink" Id="rId23" Target="https://github.com/Arashmehrdad/Stream_Alpha/blob/master/README.md" TargetMode="External" /><Relationship Type="http://schemas.openxmlformats.org/officeDocument/2006/relationships/hyperlink" Id="rId21" Target="https://github.com/Arashmehrdad/Stream_Alpha/blob/master/app/training/m20_final_research_summary.py" TargetMode="External" /><Relationship Type="http://schemas.openxmlformats.org/officeDocument/2006/relationships/hyperlink" Id="rId27" Target="https://ideas.repec.org/p/arx/papers/2010.01241.html?utm_source=chatgpt.com" TargetMode="External" /><Relationship Type="http://schemas.openxmlformats.org/officeDocument/2006/relationships/hyperlink" Id="rId25" Target="https://link.springer.com/article/10.1186/s40854-025-00866-w?utm_source=chatgpt.com" TargetMode="External" /><Relationship Type="http://schemas.openxmlformats.org/officeDocument/2006/relationships/hyperlink" Id="rId26" Target="https://researchonline.lse.ac.uk/128950?utm_source=chatgpt.com" TargetMode="External" /><Relationship Type="http://schemas.openxmlformats.org/officeDocument/2006/relationships/hyperlink" Id="rId29" Target="https://www.risk.net/journal-of-computational-finance/2471206/the-probability-of-backtest-overfitting?utm_source=chatgpt.com" TargetMode="External" /><Relationship Type="http://schemas.openxmlformats.org/officeDocument/2006/relationships/hyperlink" Id="rId28" Target="https://www.sciencedirect.com/science/article/pii/S0378426620303022?utm_source=chatgpt.com" TargetMode="External" /><Relationship Type="http://schemas.openxmlformats.org/officeDocument/2006/relationships/hyperlink" Id="rId31" Target="https://www.sciencedirect.com/science/article/pii/S1062940821000577?utm_source=chatgpt.com" TargetMode="External" /><Relationship Type="http://schemas.openxmlformats.org/officeDocument/2006/relationships/hyperlink" Id="rId37" Target="https://www.sciencedirect.com/science/article/pii/S1386418126000029?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6" Target="https://econpapers.repec.org/RePEc%3Aarx%3Apapers%3A2603.24137?utm_source=chatgpt.com" TargetMode="External" /><Relationship Type="http://schemas.openxmlformats.org/officeDocument/2006/relationships/hyperlink" Id="rId30" Target="https://econpapers.repec.org/RePEc%3Aeee%3Areveco%3Av%3A93%3Ay%3A2024%3Ai%3Apb%3Ap%3A858-874?utm_source=chatgpt.com" TargetMode="External" /><Relationship Type="http://schemas.openxmlformats.org/officeDocument/2006/relationships/hyperlink" Id="rId23" Target="https://github.com/Arashmehrdad/Stream_Alpha/blob/master/README.md" TargetMode="External" /><Relationship Type="http://schemas.openxmlformats.org/officeDocument/2006/relationships/hyperlink" Id="rId21" Target="https://github.com/Arashmehrdad/Stream_Alpha/blob/master/app/training/m20_final_research_summary.py" TargetMode="External" /><Relationship Type="http://schemas.openxmlformats.org/officeDocument/2006/relationships/hyperlink" Id="rId27" Target="https://ideas.repec.org/p/arx/papers/2010.01241.html?utm_source=chatgpt.com" TargetMode="External" /><Relationship Type="http://schemas.openxmlformats.org/officeDocument/2006/relationships/hyperlink" Id="rId25" Target="https://link.springer.com/article/10.1186/s40854-025-00866-w?utm_source=chatgpt.com" TargetMode="External" /><Relationship Type="http://schemas.openxmlformats.org/officeDocument/2006/relationships/hyperlink" Id="rId26" Target="https://researchonline.lse.ac.uk/128950?utm_source=chatgpt.com" TargetMode="External" /><Relationship Type="http://schemas.openxmlformats.org/officeDocument/2006/relationships/hyperlink" Id="rId29" Target="https://www.risk.net/journal-of-computational-finance/2471206/the-probability-of-backtest-overfitting?utm_source=chatgpt.com" TargetMode="External" /><Relationship Type="http://schemas.openxmlformats.org/officeDocument/2006/relationships/hyperlink" Id="rId28" Target="https://www.sciencedirect.com/science/article/pii/S0378426620303022?utm_source=chatgpt.com" TargetMode="External" /><Relationship Type="http://schemas.openxmlformats.org/officeDocument/2006/relationships/hyperlink" Id="rId31" Target="https://www.sciencedirect.com/science/article/pii/S1062940821000577?utm_source=chatgpt.com" TargetMode="External" /><Relationship Type="http://schemas.openxmlformats.org/officeDocument/2006/relationships/hyperlink" Id="rId37" Target="https://www.sciencedirect.com/science/article/pii/S1386418126000029?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2026-05-12T02:35:15Z</dcterms:created>
  <dcterms:modified xsi:type="dcterms:W3CDTF">2026-05-12T02:35:15Z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