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4" w:name="content"/>
    <w:bookmarkStart w:id="43" w:name="stream-alpha-m20-recovery-plan"/>
    <w:p>
      <w:pPr>
        <w:pStyle w:val="Heading1"/>
      </w:pPr>
      <w:r>
        <w:t xml:space="preserve">Stream Alpha M20 Recovery Plan</w:t>
      </w:r>
    </w:p>
    <w:bookmarkStart w:id="27" w:name="executive-diagnosis"/>
    <w:p>
      <w:pPr>
        <w:pStyle w:val="Heading2"/>
      </w:pPr>
      <w:r>
        <w:t xml:space="preserve">Executive diagnosis</w:t>
      </w:r>
    </w:p>
    <w:p>
      <w:pPr>
        <w:pStyle w:val="FirstParagraph"/>
      </w:pPr>
      <w:r>
        <w:t xml:space="preserve">The real wall is not that Kraken</w:t>
      </w:r>
      <w:hyperlink r:id="rId21">
        <w:r>
          <w:rPr>
            <w:rStyle w:val="Hyperlink"/>
          </w:rPr>
          <w:t xml:space="preserve">[1]</w:t>
        </w:r>
      </w:hyperlink>
      <w:r>
        <w:t xml:space="preserve"> </w:t>
      </w:r>
      <w:r>
        <w:t xml:space="preserve">5-minute markets are “too hard” in some absolute sense. The real wall is that</w:t>
      </w:r>
      <w:r>
        <w:t xml:space="preserve"> </w:t>
      </w:r>
      <w:r>
        <w:rPr>
          <w:b/>
          <w:bCs/>
        </w:rPr>
        <w:t xml:space="preserve">M20 is currently testing the wrong thing at the wrong layer with the wrong success condition</w:t>
      </w:r>
      <w:r>
        <w:t xml:space="preserve">. In the checked-in M20 config, the supervised target is a</w:t>
      </w:r>
      <w:r>
        <w:t xml:space="preserve"> </w:t>
      </w:r>
      <w:r>
        <w:rPr>
          <w:b/>
          <w:bCs/>
        </w:rPr>
        <w:t xml:space="preserve">next-3-candle directional label</w:t>
      </w:r>
      <w:r>
        <w:t xml:space="preserve">, the primary comparison metric is</w:t>
      </w:r>
      <w:r>
        <w:t xml:space="preserve"> </w:t>
      </w:r>
      <w:r>
        <w:rPr>
          <w:b/>
          <w:bCs/>
        </w:rPr>
        <w:t xml:space="preserve">mean_long_only_net_value_proxy</w:t>
      </w:r>
      <w:r>
        <w:t xml:space="preserve">, the recent scoring window is</w:t>
      </w:r>
      <w:r>
        <w:t xml:space="preserve"> </w:t>
      </w:r>
      <w:r>
        <w:rPr>
          <w:b/>
          <w:bCs/>
        </w:rPr>
        <w:t xml:space="preserve">365 days</w:t>
      </w:r>
      <w:r>
        <w:t xml:space="preserve">, the assumed round-trip fee is</w:t>
      </w:r>
      <w:r>
        <w:t xml:space="preserve"> </w:t>
      </w:r>
      <w:r>
        <w:rPr>
          <w:b/>
          <w:bCs/>
        </w:rPr>
        <w:t xml:space="preserve">20 bps</w:t>
      </w:r>
      <w:r>
        <w:t xml:space="preserve">, and the two explicit specialist challengers are</w:t>
      </w:r>
      <w:r>
        <w:t xml:space="preserve"> </w:t>
      </w:r>
      <w:r>
        <w:rPr>
          <w:b/>
          <w:bCs/>
        </w:rPr>
        <w:t xml:space="preserve">NHITS</w:t>
      </w:r>
      <w:r>
        <w:t xml:space="preserve"> </w:t>
      </w:r>
      <w:r>
        <w:t xml:space="preserve">for trend regimes and</w:t>
      </w:r>
      <w:r>
        <w:t xml:space="preserve"> </w:t>
      </w:r>
      <w:r>
        <w:rPr>
          <w:b/>
          <w:bCs/>
        </w:rPr>
        <w:t xml:space="preserve">PatchTST</w:t>
      </w:r>
      <w:r>
        <w:t xml:space="preserve"> </w:t>
      </w:r>
      <w:r>
        <w:t xml:space="preserve">for range regimes. In the repo’s decision logic, specialist acceptance depends on being</w:t>
      </w:r>
      <w:r>
        <w:t xml:space="preserve"> </w:t>
      </w:r>
      <w:r>
        <w:rPr>
          <w:b/>
          <w:bCs/>
        </w:rPr>
        <w:t xml:space="preserve">positive after costs</w:t>
      </w:r>
      <w:r>
        <w:t xml:space="preserve">,</w:t>
      </w:r>
      <w:r>
        <w:t xml:space="preserve"> </w:t>
      </w:r>
      <w:r>
        <w:rPr>
          <w:b/>
          <w:bCs/>
        </w:rPr>
        <w:t xml:space="preserve">beating the incumbent</w:t>
      </w:r>
      <w:r>
        <w:t xml:space="preserve">, and not worsening drawdown beyond tolerance; the ensemble truth code marks the roster</w:t>
      </w:r>
      <w:r>
        <w:t xml:space="preserve"> </w:t>
      </w:r>
      <w:r>
        <w:rPr>
          <w:b/>
          <w:bCs/>
        </w:rPr>
        <w:t xml:space="preserve">ACTIVE_WEAK</w:t>
      </w:r>
      <w:r>
        <w:t xml:space="preserve"> </w:t>
      </w:r>
      <w:r>
        <w:t xml:space="preserve">when economics are negative after costs, specialists are missing or unproven, or candidate breadth is narrow. The latest plan file also states plainly that M20 is active but limited and candidate-pool constrained.</w:t>
      </w:r>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1">
        <w:r>
          <w:rPr>
            <w:rStyle w:val="Hyperlink"/>
          </w:rPr>
          <w:t xml:space="preserve">[4]</w:t>
        </w:r>
      </w:hyperlink>
      <w:r>
        <w:t xml:space="preserve"> </w:t>
      </w:r>
      <w:hyperlink r:id="rId24">
        <w:r>
          <w:rPr>
            <w:rStyle w:val="Hyperlink"/>
          </w:rPr>
          <w:t xml:space="preserve">[5]</w:t>
        </w:r>
      </w:hyperlink>
    </w:p>
    <w:p>
      <w:pPr>
        <w:pStyle w:val="BodyText"/>
      </w:pPr>
      <w:r>
        <w:t xml:space="preserve">That means the project is</w:t>
      </w:r>
      <w:r>
        <w:t xml:space="preserve"> </w:t>
      </w:r>
      <w:r>
        <w:rPr>
          <w:b/>
          <w:bCs/>
        </w:rPr>
        <w:t xml:space="preserve">not failing in an engineering sense</w:t>
      </w:r>
      <w:r>
        <w:t xml:space="preserve">. It is doing something much healthier: it is</w:t>
      </w:r>
      <w:r>
        <w:t xml:space="preserve"> </w:t>
      </w:r>
      <w:r>
        <w:rPr>
          <w:b/>
          <w:bCs/>
        </w:rPr>
        <w:t xml:space="preserve">correctly rejecting a weak model hypothesis</w:t>
      </w:r>
      <w:r>
        <w:t xml:space="preserve">. The negative result matters. It shows your promotion semantics, runtime discoverability boundary, and cost-aware gates are working as intended instead of hallucinating progress from training artifacts. That is a sign of maturity, not collapse.</w:t>
      </w:r>
      <w:r>
        <w:t xml:space="preserve"> </w:t>
      </w:r>
      <w:hyperlink r:id="rId24">
        <w:r>
          <w:rPr>
            <w:rStyle w:val="Hyperlink"/>
          </w:rPr>
          <w:t xml:space="preserve">[5]</w:t>
        </w:r>
      </w:hyperlink>
      <w:r>
        <w:t xml:space="preserve"> </w:t>
      </w:r>
      <w:hyperlink r:id="rId21">
        <w:r>
          <w:rPr>
            <w:rStyle w:val="Hyperlink"/>
          </w:rPr>
          <w:t xml:space="preserve">[4]</w:t>
        </w:r>
      </w:hyperlink>
    </w:p>
    <w:p>
      <w:pPr>
        <w:pStyle w:val="BodyText"/>
      </w:pPr>
      <w:r>
        <w:t xml:space="preserve">The likely wrong assumptions are these. First,</w:t>
      </w:r>
      <w:r>
        <w:t xml:space="preserve"> </w:t>
      </w:r>
      <w:r>
        <w:rPr>
          <w:b/>
          <w:bCs/>
        </w:rPr>
        <w:t xml:space="preserve">next-3-candle direction is a weak proxy for tradable edge</w:t>
      </w:r>
      <w:r>
        <w:t xml:space="preserve">. Recent crypto trading research argues that next-bar or fixed-horizon labels can be noisy and poorly aligned with actual trading decisions, while triple-barrier and information-driven sampling can produce more realistic and profitable decision setups after costs. Second,</w:t>
      </w:r>
      <w:r>
        <w:t xml:space="preserve"> </w:t>
      </w:r>
      <w:r>
        <w:rPr>
          <w:b/>
          <w:bCs/>
        </w:rPr>
        <w:t xml:space="preserve">NHITS and PatchTST are not obvious first-choice tools for this exact problem framing</w:t>
      </w:r>
      <w:r>
        <w:t xml:space="preserve">. Their official documentation and papers position them primarily as multi-step forecasting architectures, especially strong in long-horizon or structured forecasting settings, whereas your repo is asking them to win a highly cost-sensitive, short-horizon classification battle over tabular OHLC-derived features. Third,</w:t>
      </w:r>
      <w:r>
        <w:t xml:space="preserve"> </w:t>
      </w:r>
      <w:r>
        <w:rPr>
          <w:b/>
          <w:bCs/>
        </w:rPr>
        <w:t xml:space="preserve">5-minute OHLC-only edge is fragile even when some intraday technical rules work</w:t>
      </w:r>
      <w:r>
        <w:t xml:space="preserve">, because transaction costs, slippage assumptions, and turnover dominate. Kraken’s spot fee schedule varies by pair, volume, and maker/taker status, and backtesting frameworks themselves warn that candle-level simulations often simplify fills and slippage.</w:t>
      </w:r>
      <w:r>
        <w:t xml:space="preserve"> </w:t>
      </w:r>
      <w:hyperlink r:id="rId25">
        <w:r>
          <w:rPr>
            <w:rStyle w:val="Hyperlink"/>
          </w:rPr>
          <w:t xml:space="preserve">[6]</w:t>
        </w:r>
      </w:hyperlink>
    </w:p>
    <w:p>
      <w:pPr>
        <w:pStyle w:val="BodyText"/>
      </w:pPr>
      <w:r>
        <w:t xml:space="preserve">The honest conclusion is this:</w:t>
      </w:r>
      <w:r>
        <w:t xml:space="preserve"> </w:t>
      </w:r>
      <w:r>
        <w:rPr>
          <w:b/>
          <w:bCs/>
        </w:rPr>
        <w:t xml:space="preserve">M20 should stop being “can specialist forecasters beat the incumbent on raw short-horizon direction?” and become “can a context-aware decision layer improve net expectancy or reduce drawdown, conditional on regime, costs, and abstention?”</w:t>
      </w:r>
      <w:r>
        <w:t xml:space="preserve"> </w:t>
      </w:r>
      <w:r>
        <w:t xml:space="preserve">That reframing fits both the literature and your existing architecture far better.</w:t>
      </w:r>
      <w:r>
        <w:t xml:space="preserve"> </w:t>
      </w:r>
      <w:hyperlink r:id="rId26">
        <w:r>
          <w:rPr>
            <w:rStyle w:val="Hyperlink"/>
          </w:rPr>
          <w:t xml:space="preserve">[7]</w:t>
        </w:r>
      </w:hyperlink>
    </w:p>
    <w:bookmarkEnd w:id="27"/>
    <w:bookmarkStart w:id="30" w:name="research-backed-options"/>
    <w:p>
      <w:pPr>
        <w:pStyle w:val="Heading2"/>
      </w:pPr>
      <w:r>
        <w:t xml:space="preserve">Research-backed options</w:t>
      </w:r>
    </w:p>
    <w:p>
      <w:pPr>
        <w:pStyle w:val="FirstParagraph"/>
      </w:pPr>
      <w:r>
        <w:rPr>
          <w:b/>
          <w:bCs/>
        </w:rPr>
        <w:t xml:space="preserve">Option 1 — keep current M20 and improve specialists.</w:t>
      </w:r>
      <w:r>
        <w:br/>
      </w:r>
      <w:r>
        <w:t xml:space="preserve">This means staying with the present frame: NHITS, NBEATSx, TFT, PatchTST, or adjacent forecasters must beat the AutoGluon-backed incumbent on recent-window, regime-scoped, after-cost verdicts. The case for this option is that intraday crypto is not perfectly efficient, and some studies do find out-of-sample profitability for technical rules after transaction costs, especially under certain market regimes or design choices. The case against it is stronger: evidence is highly conditional, hourly Bitcoin has shown weak-form efficiency in some work, and the recent specialist verdict logic in your repo is already correctly telling you that the current challengers are not clearing the bar.</w:t>
      </w:r>
      <w:r>
        <w:t xml:space="preserve"> </w:t>
      </w:r>
      <w:r>
        <w:rPr>
          <w:b/>
          <w:bCs/>
        </w:rPr>
        <w:t xml:space="preserve">Pros:</w:t>
      </w:r>
      <w:r>
        <w:t xml:space="preserve"> </w:t>
      </w:r>
      <w:r>
        <w:t xml:space="preserve">preserves current milestone semantics; no label schema change; lowest conceptual disruption.</w:t>
      </w:r>
      <w:r>
        <w:t xml:space="preserve"> </w:t>
      </w:r>
      <w:r>
        <w:rPr>
          <w:b/>
          <w:bCs/>
        </w:rPr>
        <w:t xml:space="preserve">Cons:</w:t>
      </w:r>
      <w:r>
        <w:t xml:space="preserve"> </w:t>
      </w:r>
      <w:r>
        <w:t xml:space="preserve">likely keeps burning time on a misaligned target/model pairing.</w:t>
      </w:r>
      <w:r>
        <w:t xml:space="preserve"> </w:t>
      </w:r>
      <w:r>
        <w:rPr>
          <w:b/>
          <w:bCs/>
        </w:rPr>
        <w:t xml:space="preserve">Risk:</w:t>
      </w:r>
      <w:r>
        <w:t xml:space="preserve"> </w:t>
      </w:r>
      <w:r>
        <w:t xml:space="preserve">high risk of “better forecast, worse trade.”</w:t>
      </w:r>
      <w:r>
        <w:t xml:space="preserve"> </w:t>
      </w:r>
      <w:r>
        <w:rPr>
          <w:b/>
          <w:bCs/>
        </w:rPr>
        <w:t xml:space="preserve">Implementation cost:</w:t>
      </w:r>
      <w:r>
        <w:t xml:space="preserve"> </w:t>
      </w:r>
      <w:r>
        <w:t xml:space="preserve">low to medium.</w:t>
      </w:r>
      <w:r>
        <w:t xml:space="preserve"> </w:t>
      </w:r>
      <w:r>
        <w:rPr>
          <w:b/>
          <w:bCs/>
        </w:rPr>
        <w:t xml:space="preserve">Evidence:</w:t>
      </w:r>
      <w:r>
        <w:t xml:space="preserve"> </w:t>
      </w:r>
      <w:r>
        <w:t xml:space="preserve">mixed and fragile.</w:t>
      </w:r>
      <w:r>
        <w:t xml:space="preserve"> </w:t>
      </w:r>
      <w:hyperlink r:id="rId28">
        <w:r>
          <w:rPr>
            <w:rStyle w:val="Hyperlink"/>
          </w:rPr>
          <w:t xml:space="preserve">[8]</w:t>
        </w:r>
      </w:hyperlink>
      <w:r>
        <w:t xml:space="preserve"> </w:t>
      </w:r>
      <w:hyperlink r:id="rId23">
        <w:r>
          <w:rPr>
            <w:rStyle w:val="Hyperlink"/>
          </w:rPr>
          <w:t xml:space="preserve">[3]</w:t>
        </w:r>
      </w:hyperlink>
    </w:p>
    <w:p>
      <w:pPr>
        <w:pStyle w:val="BodyText"/>
      </w:pPr>
      <w:r>
        <w:rPr>
          <w:b/>
          <w:bCs/>
        </w:rPr>
        <w:t xml:space="preserve">Option 2 — reframe M20 around regime-aware model selection and abstention.</w:t>
      </w:r>
      <w:r>
        <w:br/>
      </w:r>
      <w:r>
        <w:t xml:space="preserve">This turns M20 into a</w:t>
      </w:r>
      <w:r>
        <w:t xml:space="preserve"> </w:t>
      </w:r>
      <w:r>
        <w:rPr>
          <w:b/>
          <w:bCs/>
        </w:rPr>
        <w:t xml:space="preserve">decision-selection</w:t>
      </w:r>
      <w:r>
        <w:t xml:space="preserve"> </w:t>
      </w:r>
      <w:r>
        <w:t xml:space="preserve">problem rather than a pure forecasting contest. The incumbent can remain the main probability engine, while M20 learns when to trust it, when to HOLD, and when regime context justifies or suppresses exposure. This is much closer to the logic of reject-option classification and meta-strategies: the goal is not “predict every bar,” but “take fewer, better decisions.”</w:t>
      </w:r>
      <w:r>
        <w:t xml:space="preserve"> </w:t>
      </w:r>
      <w:r>
        <w:rPr>
          <w:b/>
          <w:bCs/>
        </w:rPr>
        <w:t xml:space="preserve">Pros:</w:t>
      </w:r>
      <w:r>
        <w:t xml:space="preserve"> </w:t>
      </w:r>
      <w:r>
        <w:t xml:space="preserve">fits the existing runtime, registry, and health surfaces; directly targets drawdown and turnover; preserves your evidence-driven promotion principle.</w:t>
      </w:r>
      <w:r>
        <w:t xml:space="preserve"> </w:t>
      </w:r>
      <w:r>
        <w:rPr>
          <w:b/>
          <w:bCs/>
        </w:rPr>
        <w:t xml:space="preserve">Cons:</w:t>
      </w:r>
      <w:r>
        <w:t xml:space="preserve"> </w:t>
      </w:r>
      <w:r>
        <w:t xml:space="preserve">weaker “model novelty” story than landing a shiny specialist.</w:t>
      </w:r>
      <w:r>
        <w:t xml:space="preserve"> </w:t>
      </w:r>
      <w:r>
        <w:rPr>
          <w:b/>
          <w:bCs/>
        </w:rPr>
        <w:t xml:space="preserve">Risk:</w:t>
      </w:r>
      <w:r>
        <w:t xml:space="preserve"> </w:t>
      </w:r>
      <w:r>
        <w:t xml:space="preserve">can devolve into threshold overfitting unless tightly controlled.</w:t>
      </w:r>
      <w:r>
        <w:t xml:space="preserve"> </w:t>
      </w:r>
      <w:r>
        <w:rPr>
          <w:b/>
          <w:bCs/>
        </w:rPr>
        <w:t xml:space="preserve">Implementation cost:</w:t>
      </w:r>
      <w:r>
        <w:t xml:space="preserve"> </w:t>
      </w:r>
      <w:r>
        <w:t xml:space="preserve">low to medium.</w:t>
      </w:r>
      <w:r>
        <w:t xml:space="preserve"> </w:t>
      </w:r>
      <w:r>
        <w:rPr>
          <w:b/>
          <w:bCs/>
        </w:rPr>
        <w:t xml:space="preserve">Evidence:</w:t>
      </w:r>
      <w:r>
        <w:t xml:space="preserve"> </w:t>
      </w:r>
      <w:r>
        <w:t xml:space="preserve">strong conceptual support from reject-option literature, meta-strategy research, and your own verdict/economics framing.</w:t>
      </w:r>
      <w:r>
        <w:t xml:space="preserve"> </w:t>
      </w:r>
      <w:hyperlink r:id="rId29">
        <w:r>
          <w:rPr>
            <w:rStyle w:val="Hyperlink"/>
          </w:rPr>
          <w:t xml:space="preserve">[9]</w:t>
        </w:r>
      </w:hyperlink>
      <w:r>
        <w:t xml:space="preserve"> </w:t>
      </w:r>
      <w:hyperlink r:id="rId23">
        <w:r>
          <w:rPr>
            <w:rStyle w:val="Hyperlink"/>
          </w:rPr>
          <w:t xml:space="preserve">[3]</w:t>
        </w:r>
      </w:hyperlink>
    </w:p>
    <w:p>
      <w:pPr>
        <w:pStyle w:val="BodyText"/>
      </w:pPr>
      <w:r>
        <w:rPr>
          <w:b/>
          <w:bCs/>
        </w:rPr>
        <w:t xml:space="preserve">Option 3 — replace direction forecasting with trading-aware labels and meta-labeling.</w:t>
      </w:r>
      <w:r>
        <w:br/>
      </w:r>
      <w:r>
        <w:t xml:space="preserve">This is the strongest research path if you still want new models. Instead of asking “up or down in 3 candles?”, ask questions that match a real trading decision: will price exceed fee-plus-slippage before a time limit; which barrier hits first; should the base model’s signal be taken or rejected; is expected payoff positive conditional on regime and volatility. Recent crypto research specifically finds that</w:t>
      </w:r>
      <w:r>
        <w:t xml:space="preserve"> </w:t>
      </w:r>
      <w:r>
        <w:rPr>
          <w:b/>
          <w:bCs/>
        </w:rPr>
        <w:t xml:space="preserve">CUSUM-style sampling plus triple-barrier labeling</w:t>
      </w:r>
      <w:r>
        <w:t xml:space="preserve"> </w:t>
      </w:r>
      <w:r>
        <w:t xml:space="preserve">can outperform fixed time bars and next-bar labeling after transaction costs.</w:t>
      </w:r>
      <w:r>
        <w:t xml:space="preserve"> </w:t>
      </w:r>
      <w:r>
        <w:rPr>
          <w:b/>
          <w:bCs/>
        </w:rPr>
        <w:t xml:space="preserve">Pros:</w:t>
      </w:r>
      <w:r>
        <w:t xml:space="preserve"> </w:t>
      </w:r>
      <w:r>
        <w:t xml:space="preserve">fixes the label-target mismatch; naturally supports HOLD/abstention and regime conditioning; far better alignment with trading utility.</w:t>
      </w:r>
      <w:r>
        <w:t xml:space="preserve"> </w:t>
      </w:r>
      <w:r>
        <w:rPr>
          <w:b/>
          <w:bCs/>
        </w:rPr>
        <w:t xml:space="preserve">Cons:</w:t>
      </w:r>
      <w:r>
        <w:t xml:space="preserve"> </w:t>
      </w:r>
      <w:r>
        <w:t xml:space="preserve">more moving parts; more evaluation complexity; requires careful leakage control.</w:t>
      </w:r>
      <w:r>
        <w:t xml:space="preserve"> </w:t>
      </w:r>
      <w:r>
        <w:rPr>
          <w:b/>
          <w:bCs/>
        </w:rPr>
        <w:t xml:space="preserve">Risk:</w:t>
      </w:r>
      <w:r>
        <w:t xml:space="preserve"> </w:t>
      </w:r>
      <w:r>
        <w:t xml:space="preserve">moderate, but healthier than continuing raw direction labels.</w:t>
      </w:r>
      <w:r>
        <w:t xml:space="preserve"> </w:t>
      </w:r>
      <w:r>
        <w:rPr>
          <w:b/>
          <w:bCs/>
        </w:rPr>
        <w:t xml:space="preserve">Implementation cost:</w:t>
      </w:r>
      <w:r>
        <w:t xml:space="preserve"> </w:t>
      </w:r>
      <w:r>
        <w:t xml:space="preserve">medium.</w:t>
      </w:r>
      <w:r>
        <w:t xml:space="preserve"> </w:t>
      </w:r>
      <w:r>
        <w:rPr>
          <w:b/>
          <w:bCs/>
        </w:rPr>
        <w:t xml:space="preserve">Evidence:</w:t>
      </w:r>
      <w:r>
        <w:t xml:space="preserve"> </w:t>
      </w:r>
      <w:r>
        <w:t xml:space="preserve">strong and recent.</w:t>
      </w:r>
      <w:r>
        <w:t xml:space="preserve"> </w:t>
      </w:r>
      <w:hyperlink r:id="rId25">
        <w:r>
          <w:rPr>
            <w:rStyle w:val="Hyperlink"/>
          </w:rPr>
          <w:t xml:space="preserve">[10]</w:t>
        </w:r>
      </w:hyperlink>
    </w:p>
    <w:p>
      <w:pPr>
        <w:pStyle w:val="BodyText"/>
      </w:pPr>
      <w:r>
        <w:rPr>
          <w:b/>
          <w:bCs/>
        </w:rPr>
        <w:t xml:space="preserve">Option 4 — stop chasing model edge and turn Stream Alpha into an execution, evaluation, and research platform.</w:t>
      </w:r>
      <w:r>
        <w:br/>
      </w:r>
      <w:r>
        <w:t xml:space="preserve">This is the pragmatic fallback if the label and decision upgrades still fail to show robust edge. It would mean formalizing Stream Alpha as a</w:t>
      </w:r>
      <w:r>
        <w:t xml:space="preserve"> </w:t>
      </w:r>
      <w:r>
        <w:rPr>
          <w:b/>
          <w:bCs/>
        </w:rPr>
        <w:t xml:space="preserve">local-first research stack for data lineage, model governance, shadow-mode evaluation, drift monitoring, ensemble control, and promotion discipline</w:t>
      </w:r>
      <w:r>
        <w:t xml:space="preserve">, not as a profitability claim. This is entirely defensible. The repo already contains evidence of strong systems work: runtime health truth, persisted adaptation surfaces, registry-backed artifacts, guarded modes, and honest status language.</w:t>
      </w:r>
      <w:r>
        <w:t xml:space="preserve"> </w:t>
      </w:r>
      <w:r>
        <w:rPr>
          <w:b/>
          <w:bCs/>
        </w:rPr>
        <w:t xml:space="preserve">Pros:</w:t>
      </w:r>
      <w:r>
        <w:t xml:space="preserve"> </w:t>
      </w:r>
      <w:r>
        <w:t xml:space="preserve">strongest portfolio story with the least scientific dishonesty; least likely to produce fake claims; very compatible with the repo’s real accomplishments.</w:t>
      </w:r>
      <w:r>
        <w:t xml:space="preserve"> </w:t>
      </w:r>
      <w:r>
        <w:rPr>
          <w:b/>
          <w:bCs/>
        </w:rPr>
        <w:t xml:space="preserve">Cons:</w:t>
      </w:r>
      <w:r>
        <w:t xml:space="preserve"> </w:t>
      </w:r>
      <w:r>
        <w:t xml:space="preserve">weaker “alpha” narrative.</w:t>
      </w:r>
      <w:r>
        <w:t xml:space="preserve"> </w:t>
      </w:r>
      <w:r>
        <w:rPr>
          <w:b/>
          <w:bCs/>
        </w:rPr>
        <w:t xml:space="preserve">Risk:</w:t>
      </w:r>
      <w:r>
        <w:t xml:space="preserve"> </w:t>
      </w:r>
      <w:r>
        <w:t xml:space="preserve">low.</w:t>
      </w:r>
      <w:r>
        <w:t xml:space="preserve"> </w:t>
      </w:r>
      <w:r>
        <w:rPr>
          <w:b/>
          <w:bCs/>
        </w:rPr>
        <w:t xml:space="preserve">Implementation cost:</w:t>
      </w:r>
      <w:r>
        <w:t xml:space="preserve"> </w:t>
      </w:r>
      <w:r>
        <w:t xml:space="preserve">low.</w:t>
      </w:r>
      <w:r>
        <w:t xml:space="preserve"> </w:t>
      </w:r>
      <w:r>
        <w:rPr>
          <w:b/>
          <w:bCs/>
        </w:rPr>
        <w:t xml:space="preserve">Evidence:</w:t>
      </w:r>
      <w:r>
        <w:t xml:space="preserve"> </w:t>
      </w:r>
      <w:r>
        <w:t xml:space="preserve">strongly supported by the repo’s current architecture and process quality even without a strong live model edge.</w:t>
      </w:r>
      <w:r>
        <w:t xml:space="preserve"> </w:t>
      </w:r>
      <w:hyperlink r:id="rId24">
        <w:r>
          <w:rPr>
            <w:rStyle w:val="Hyperlink"/>
          </w:rPr>
          <w:t xml:space="preserve">[5]</w:t>
        </w:r>
      </w:hyperlink>
      <w:r>
        <w:t xml:space="preserve"> </w:t>
      </w:r>
      <w:hyperlink r:id="rId21">
        <w:r>
          <w:rPr>
            <w:rStyle w:val="Hyperlink"/>
          </w:rPr>
          <w:t xml:space="preserve">[4]</w:t>
        </w:r>
      </w:hyperlink>
    </w:p>
    <w:bookmarkEnd w:id="30"/>
    <w:bookmarkStart w:id="34" w:name="recommended-path"/>
    <w:p>
      <w:pPr>
        <w:pStyle w:val="Heading2"/>
      </w:pPr>
      <w:r>
        <w:t xml:space="preserve">Recommended path</w:t>
      </w:r>
    </w:p>
    <w:p>
      <w:pPr>
        <w:pStyle w:val="FirstParagraph"/>
      </w:pPr>
      <w:r>
        <w:t xml:space="preserve">The best path is</w:t>
      </w:r>
      <w:r>
        <w:t xml:space="preserve"> </w:t>
      </w:r>
      <w:r>
        <w:rPr>
          <w:b/>
          <w:bCs/>
        </w:rPr>
        <w:t xml:space="preserve">Option 2 plus Option 3 together</w:t>
      </w:r>
      <w:r>
        <w:t xml:space="preserve">:</w:t>
      </w:r>
      <w:r>
        <w:t xml:space="preserve"> </w:t>
      </w:r>
      <w:r>
        <w:rPr>
          <w:b/>
          <w:bCs/>
        </w:rPr>
        <w:t xml:space="preserve">reframe M20 as a context-aware decision layer, then feed that layer better labels</w:t>
      </w:r>
      <w:r>
        <w:t xml:space="preserve">. Do</w:t>
      </w:r>
      <w:r>
        <w:t xml:space="preserve"> </w:t>
      </w:r>
      <w:r>
        <w:rPr>
          <w:b/>
          <w:bCs/>
        </w:rPr>
        <w:t xml:space="preserve">not</w:t>
      </w:r>
      <w:r>
        <w:t xml:space="preserve"> </w:t>
      </w:r>
      <w:r>
        <w:t xml:space="preserve">keep grinding specialist forecasters against the current next-3-candle target as the main objective. Keep the current AutoGluon-backed incumbent frozen as the primary probability source, keep NeuralForecast in the lab, and move the real research frontier to</w:t>
      </w:r>
      <w:r>
        <w:t xml:space="preserve"> </w:t>
      </w:r>
      <w:r>
        <w:rPr>
          <w:b/>
          <w:bCs/>
        </w:rPr>
        <w:t xml:space="preserve">abstention, thresholding, meta-labeling, and trading-aware evaluation</w:t>
      </w:r>
      <w:r>
        <w:t xml:space="preserve">. That recommendation best fits the repo’s current state, the model documentation, and recent crypto-trading evidence.</w:t>
      </w:r>
      <w:r>
        <w:t xml:space="preserve"> </w:t>
      </w:r>
      <w:hyperlink r:id="rId24">
        <w:r>
          <w:rPr>
            <w:rStyle w:val="Hyperlink"/>
          </w:rPr>
          <w:t xml:space="preserve">[5]</w:t>
        </w:r>
      </w:hyperlink>
      <w:r>
        <w:t xml:space="preserve"> </w:t>
      </w:r>
      <w:hyperlink r:id="rId22">
        <w:r>
          <w:rPr>
            <w:rStyle w:val="Hyperlink"/>
          </w:rPr>
          <w:t xml:space="preserve">[2]</w:t>
        </w:r>
      </w:hyperlink>
      <w:r>
        <w:t xml:space="preserve"> </w:t>
      </w:r>
      <w:hyperlink r:id="rId25">
        <w:r>
          <w:rPr>
            <w:rStyle w:val="Hyperlink"/>
          </w:rPr>
          <w:t xml:space="preserve">[11]</w:t>
        </w:r>
      </w:hyperlink>
    </w:p>
    <w:p>
      <w:pPr>
        <w:pStyle w:val="BodyText"/>
      </w:pPr>
      <w:r>
        <w:rPr>
          <w:b/>
          <w:bCs/>
        </w:rPr>
        <w:t xml:space="preserve">Batch one — freeze and redefine.</w:t>
      </w:r>
      <w:r>
        <w:br/>
      </w:r>
      <w:r>
        <w:t xml:space="preserve">Goal: stop hypothesis drift. Changed areas: milestone docs, acceptance wording, artifact schema for research-only policy candidates, and summary reporting. Validation: unit tests for unchanged promotion behavior and unchanged runtime discoverability; docs diff showing no fake completion language. Expected artifact:</w:t>
      </w:r>
      <w:r>
        <w:t xml:space="preserve"> </w:t>
      </w:r>
      <w:r>
        <w:rPr>
          <w:rStyle w:val="VerbatimChar"/>
        </w:rPr>
        <w:t xml:space="preserve">m20_reframe.md</w:t>
      </w:r>
      <w:r>
        <w:t xml:space="preserve"> </w:t>
      </w:r>
      <w:r>
        <w:t xml:space="preserve">plus a machine-readable</w:t>
      </w:r>
      <w:r>
        <w:t xml:space="preserve"> </w:t>
      </w:r>
      <w:r>
        <w:rPr>
          <w:rStyle w:val="VerbatimChar"/>
        </w:rPr>
        <w:t xml:space="preserve">policy_candidate_schema.json</w:t>
      </w:r>
      <w:r>
        <w:t xml:space="preserve">. Stop condition: M20 no longer implies “specialists must beat incumbent on raw direction.”</w:t>
      </w:r>
      <w:r>
        <w:t xml:space="preserve"> </w:t>
      </w:r>
      <w:hyperlink r:id="rId24">
        <w:r>
          <w:rPr>
            <w:rStyle w:val="Hyperlink"/>
          </w:rPr>
          <w:t xml:space="preserve">[5]</w:t>
        </w:r>
      </w:hyperlink>
      <w:r>
        <w:t xml:space="preserve"> </w:t>
      </w:r>
      <w:hyperlink r:id="rId21">
        <w:r>
          <w:rPr>
            <w:rStyle w:val="Hyperlink"/>
          </w:rPr>
          <w:t xml:space="preserve">[4]</w:t>
        </w:r>
      </w:hyperlink>
    </w:p>
    <w:p>
      <w:pPr>
        <w:pStyle w:val="BodyText"/>
      </w:pPr>
      <w:r>
        <w:rPr>
          <w:b/>
          <w:bCs/>
        </w:rPr>
        <w:t xml:space="preserve">Batch two — add trading-aware labels.</w:t>
      </w:r>
      <w:r>
        <w:br/>
      </w:r>
      <w:r>
        <w:t xml:space="preserve">Goal: introduce a research-only dataset branch with</w:t>
      </w:r>
      <w:r>
        <w:t xml:space="preserve"> </w:t>
      </w:r>
      <w:r>
        <w:rPr>
          <w:b/>
          <w:bCs/>
        </w:rPr>
        <w:t xml:space="preserve">triple-barrier labels</w:t>
      </w:r>
      <w:r>
        <w:t xml:space="preserve">,</w:t>
      </w:r>
      <w:r>
        <w:t xml:space="preserve"> </w:t>
      </w:r>
      <w:r>
        <w:rPr>
          <w:b/>
          <w:bCs/>
        </w:rPr>
        <w:t xml:space="preserve">fee-plus-slippage exceedance labels</w:t>
      </w:r>
      <w:r>
        <w:t xml:space="preserve">, and a</w:t>
      </w:r>
      <w:r>
        <w:t xml:space="preserve"> </w:t>
      </w:r>
      <w:r>
        <w:rPr>
          <w:b/>
          <w:bCs/>
        </w:rPr>
        <w:t xml:space="preserve">meta-label</w:t>
      </w:r>
      <w:r>
        <w:t xml:space="preserve"> </w:t>
      </w:r>
      <w:r>
        <w:t xml:space="preserve">that asks whether to take the incumbent signal. Changed areas: training dataset builder, label module, artifact manifest, and report generation. Validation: deterministic label-generation tests, leakage checks, and artifact reproducibility on existing historical data. Expected artifact: label manifests and per-run label diagnostics. Stop condition: you can generate these labels without touching runtime or promotion semantics.</w:t>
      </w:r>
      <w:r>
        <w:t xml:space="preserve"> </w:t>
      </w:r>
      <w:hyperlink r:id="rId25">
        <w:r>
          <w:rPr>
            <w:rStyle w:val="Hyperlink"/>
          </w:rPr>
          <w:t xml:space="preserve">[12]</w:t>
        </w:r>
      </w:hyperlink>
    </w:p>
    <w:p>
      <w:pPr>
        <w:pStyle w:val="BodyText"/>
      </w:pPr>
      <w:r>
        <w:rPr>
          <w:b/>
          <w:bCs/>
        </w:rPr>
        <w:t xml:space="preserve">Batch three — add a decision-policy evaluator.</w:t>
      </w:r>
      <w:r>
        <w:br/>
      </w:r>
      <w:r>
        <w:t xml:space="preserve">Goal: evaluate BUY versus HOLD policies over incumbent probabilities and new labels. Changed areas: offline analysis module only. The evaluator should sweep thresholds, abstention rates, and regime-conditional rules, and report</w:t>
      </w:r>
      <w:r>
        <w:t xml:space="preserve"> </w:t>
      </w:r>
      <w:r>
        <w:rPr>
          <w:b/>
          <w:bCs/>
        </w:rPr>
        <w:t xml:space="preserve">net expectancy, turnover, drawdown, coverage, calibration, and regime-slice stability</w:t>
      </w:r>
      <w:r>
        <w:t xml:space="preserve">. Validation: paired comparisons against the current incumbent policy using identical timestamps and identical cost assumptions. Expected artifact:</w:t>
      </w:r>
      <w:r>
        <w:t xml:space="preserve"> </w:t>
      </w:r>
      <w:r>
        <w:rPr>
          <w:rStyle w:val="VerbatimChar"/>
        </w:rPr>
        <w:t xml:space="preserve">policy_report.json</w:t>
      </w:r>
      <w:r>
        <w:t xml:space="preserve">,</w:t>
      </w:r>
      <w:r>
        <w:t xml:space="preserve"> </w:t>
      </w:r>
      <w:r>
        <w:rPr>
          <w:rStyle w:val="VerbatimChar"/>
        </w:rPr>
        <w:t xml:space="preserve">policy_candidates.csv</w:t>
      </w:r>
      <w:r>
        <w:t xml:space="preserve">, and a human-readable markdown summary. Stop condition: at least one challenger policy either improves regime-conditioned expectancy or reduces drawdown materially without hiding behind unrealistic low trade counts.</w:t>
      </w:r>
      <w:r>
        <w:t xml:space="preserve"> </w:t>
      </w:r>
      <w:hyperlink r:id="rId29">
        <w:r>
          <w:rPr>
            <w:rStyle w:val="Hyperlink"/>
          </w:rPr>
          <w:t xml:space="preserve">[13]</w:t>
        </w:r>
      </w:hyperlink>
    </w:p>
    <w:p>
      <w:pPr>
        <w:pStyle w:val="BodyText"/>
      </w:pPr>
      <w:r>
        <w:rPr>
          <w:b/>
          <w:bCs/>
        </w:rPr>
        <w:t xml:space="preserve">Batch four — shadow-only online adaptation.</w:t>
      </w:r>
      <w:r>
        <w:br/>
      </w:r>
      <w:r>
        <w:t xml:space="preserve">Goal: use River</w:t>
      </w:r>
      <w:hyperlink r:id="rId31">
        <w:r>
          <w:rPr>
            <w:rStyle w:val="Hyperlink"/>
          </w:rPr>
          <w:t xml:space="preserve">[14]</w:t>
        </w:r>
      </w:hyperlink>
      <w:r>
        <w:t xml:space="preserve"> </w:t>
      </w:r>
      <w:r>
        <w:t xml:space="preserve">style online tools where they actually fit: calibration monitoring, threshold drift, and retraining alarms, not as the primary brain. Changed areas: shadow-mode observer sidecar and monitoring surfaces only. Validation: shadow logs show threshold drift, calibration drift, and regime-conditioned acceptance rates; runtime trading logic remains unchanged. Expected artifact: a shadow-only decision audit stream and dashboard cards. Stop condition: you have evidence whether the decision layer is stable enough to deserve future promotion research.</w:t>
      </w:r>
      <w:r>
        <w:t xml:space="preserve"> </w:t>
      </w:r>
      <w:hyperlink r:id="rId32">
        <w:r>
          <w:rPr>
            <w:rStyle w:val="Hyperlink"/>
          </w:rPr>
          <w:t xml:space="preserve">[15]</w:t>
        </w:r>
      </w:hyperlink>
    </w:p>
    <w:p>
      <w:pPr>
        <w:pStyle w:val="BodyText"/>
      </w:pPr>
      <w:r>
        <w:t xml:space="preserve">If Batch three fails cleanly, do</w:t>
      </w:r>
      <w:r>
        <w:t xml:space="preserve"> </w:t>
      </w:r>
      <w:r>
        <w:rPr>
          <w:b/>
          <w:bCs/>
        </w:rPr>
        <w:t xml:space="preserve">not</w:t>
      </w:r>
      <w:r>
        <w:t xml:space="preserve"> </w:t>
      </w:r>
      <w:r>
        <w:t xml:space="preserve">escalate to RL, sentiment pipelines, or market making. The literature on short-horizon crypto prediction increasingly points toward</w:t>
      </w:r>
      <w:r>
        <w:t xml:space="preserve"> </w:t>
      </w:r>
      <w:r>
        <w:rPr>
          <w:b/>
          <w:bCs/>
        </w:rPr>
        <w:t xml:space="preserve">order flow</w:t>
      </w:r>
      <w:r>
        <w:t xml:space="preserve"> </w:t>
      </w:r>
      <w:r>
        <w:t xml:space="preserve">and</w:t>
      </w:r>
      <w:r>
        <w:t xml:space="preserve"> </w:t>
      </w:r>
      <w:r>
        <w:rPr>
          <w:b/>
          <w:bCs/>
        </w:rPr>
        <w:t xml:space="preserve">limit order book</w:t>
      </w:r>
      <w:r>
        <w:t xml:space="preserve"> </w:t>
      </w:r>
      <w:r>
        <w:t xml:space="preserve">information when chasing ultra-short-horizon edge. That would be a materially different data and execution project than the current 5-minute OHLC stack.</w:t>
      </w:r>
      <w:r>
        <w:t xml:space="preserve"> </w:t>
      </w:r>
      <w:hyperlink r:id="rId33">
        <w:r>
          <w:rPr>
            <w:rStyle w:val="Hyperlink"/>
          </w:rPr>
          <w:t xml:space="preserve">[16]</w:t>
        </w:r>
      </w:hyperlink>
    </w:p>
    <w:bookmarkEnd w:id="34"/>
    <w:bookmarkStart w:id="36" w:name="m20-rewrite"/>
    <w:p>
      <w:pPr>
        <w:pStyle w:val="Heading2"/>
      </w:pPr>
      <w:r>
        <w:t xml:space="preserve">M20 rewrite</w:t>
      </w:r>
    </w:p>
    <w:p>
      <w:pPr>
        <w:pStyle w:val="FirstParagraph"/>
      </w:pPr>
      <w:r>
        <w:t xml:space="preserve">A corrected M20 definition could be:</w:t>
      </w:r>
    </w:p>
    <w:p>
      <w:pPr>
        <w:pStyle w:val="BodyText"/>
      </w:pPr>
      <w:r>
        <w:rPr>
          <w:b/>
          <w:bCs/>
        </w:rPr>
        <w:t xml:space="preserve">M20 is the offline-to-shadow milestone for context-aware decision selection in Stream Alpha. It is complete when the system can generate, register, compare, and audit research-only decision challengers that use incumbent model outputs, regime context, and cost-aware rules to decide BUY versus HOLD, with evidence reported across walk-forward windows, assets, and regimes. M20 does not require specialist forecasters to beat the incumbent on a raw short-horizon directional target.</w:t>
      </w:r>
    </w:p>
    <w:p>
      <w:pPr>
        <w:pStyle w:val="BodyText"/>
      </w:pPr>
      <w:r>
        <w:t xml:space="preserve">That definition is more honest because it matches what the repo already values: runtime discoverability, registry truth, validation, artifacts, and usability—not training-time hype.</w:t>
      </w:r>
      <w:r>
        <w:t xml:space="preserve"> </w:t>
      </w:r>
      <w:hyperlink r:id="rId24">
        <w:r>
          <w:rPr>
            <w:rStyle w:val="Hyperlink"/>
          </w:rPr>
          <w:t xml:space="preserve">[5]</w:t>
        </w:r>
      </w:hyperlink>
      <w:r>
        <w:t xml:space="preserve"> </w:t>
      </w:r>
      <w:hyperlink r:id="rId21">
        <w:r>
          <w:rPr>
            <w:rStyle w:val="Hyperlink"/>
          </w:rPr>
          <w:t xml:space="preserve">[4]</w:t>
        </w:r>
      </w:hyperlink>
    </w:p>
    <w:p>
      <w:pPr>
        <w:pStyle w:val="BodyText"/>
      </w:pPr>
      <w:r>
        <w:t xml:space="preserve">A good set of exit criteria would be:</w:t>
      </w:r>
    </w:p>
    <w:p>
      <w:pPr>
        <w:pStyle w:val="BodyText"/>
      </w:pPr>
      <w:r>
        <w:rPr>
          <w:b/>
          <w:bCs/>
        </w:rPr>
        <w:t xml:space="preserve">Promotable outcome.</w:t>
      </w:r>
      <w:r>
        <w:br/>
      </w:r>
      <w:r>
        <w:t xml:space="preserve">A research challenger is loadable, discoverable, reproducible, and on a pre-declared untouched evaluation segment it either improves net expectancy after fees and modeled slippage or reduces max drawdown meaningfully, with stable behavior across at least more than one asset or more than one regime slice. The challenger must also pass calibration and coverage sanity checks.</w:t>
      </w:r>
      <w:r>
        <w:t xml:space="preserve"> </w:t>
      </w:r>
      <w:hyperlink r:id="rId35">
        <w:r>
          <w:rPr>
            <w:rStyle w:val="Hyperlink"/>
          </w:rPr>
          <w:t xml:space="preserve">[17]</w:t>
        </w:r>
      </w:hyperlink>
    </w:p>
    <w:p>
      <w:pPr>
        <w:pStyle w:val="BodyText"/>
      </w:pPr>
      <w:r>
        <w:rPr>
          <w:b/>
          <w:bCs/>
        </w:rPr>
        <w:t xml:space="preserve">Scientifically useful but not promotable outcome.</w:t>
      </w:r>
      <w:r>
        <w:br/>
      </w:r>
      <w:r>
        <w:t xml:space="preserve">The system can generate trading-aware labels, run walk-forward policy evaluations, and produce auditable artifacts and reports, but no challenger beats the incumbent or improves drawdown robustly. In this case, M20 is still considered</w:t>
      </w:r>
      <w:r>
        <w:t xml:space="preserve"> </w:t>
      </w:r>
      <w:r>
        <w:rPr>
          <w:b/>
          <w:bCs/>
        </w:rPr>
        <w:t xml:space="preserve">complete as research infrastructure</w:t>
      </w:r>
      <w:r>
        <w:t xml:space="preserve"> </w:t>
      </w:r>
      <w:r>
        <w:t xml:space="preserve">but marked</w:t>
      </w:r>
      <w:r>
        <w:t xml:space="preserve"> </w:t>
      </w:r>
      <w:r>
        <w:rPr>
          <w:b/>
          <w:bCs/>
        </w:rPr>
        <w:t xml:space="preserve">NOT_PROMOTABLE</w:t>
      </w:r>
      <w:r>
        <w:t xml:space="preserve"> </w:t>
      </w:r>
      <w:r>
        <w:t xml:space="preserve">at runtime. That gives you a valid negative result rather than an endless “ACTIVE_WEAK forever” loop.</w:t>
      </w:r>
      <w:r>
        <w:t xml:space="preserve"> </w:t>
      </w:r>
      <w:hyperlink r:id="rId24">
        <w:r>
          <w:rPr>
            <w:rStyle w:val="Hyperlink"/>
          </w:rPr>
          <w:t xml:space="preserve">[5]</w:t>
        </w:r>
      </w:hyperlink>
      <w:r>
        <w:t xml:space="preserve"> </w:t>
      </w:r>
      <w:hyperlink r:id="rId31">
        <w:r>
          <w:rPr>
            <w:rStyle w:val="Hyperlink"/>
          </w:rPr>
          <w:t xml:space="preserve">[18]</w:t>
        </w:r>
      </w:hyperlink>
    </w:p>
    <w:p>
      <w:pPr>
        <w:pStyle w:val="BodyText"/>
      </w:pPr>
      <w:r>
        <w:rPr>
          <w:b/>
          <w:bCs/>
        </w:rPr>
        <w:t xml:space="preserve">Failure outcome.</w:t>
      </w:r>
      <w:r>
        <w:br/>
      </w:r>
      <w:r>
        <w:t xml:space="preserve">Artifacts are not loadable, evaluation is not reproducible, or the policy comparison is not cost-aware and not slice-stable. That is a genuine implementation miss and should not be hidden.</w:t>
      </w:r>
      <w:r>
        <w:t xml:space="preserve"> </w:t>
      </w:r>
      <w:hyperlink r:id="rId21">
        <w:r>
          <w:rPr>
            <w:rStyle w:val="Hyperlink"/>
          </w:rPr>
          <w:t xml:space="preserve">[4]</w:t>
        </w:r>
      </w:hyperlink>
    </w:p>
    <w:bookmarkEnd w:id="36"/>
    <w:bookmarkStart w:id="39" w:name="experiment-design"/>
    <w:p>
      <w:pPr>
        <w:pStyle w:val="Heading2"/>
      </w:pPr>
      <w:r>
        <w:t xml:space="preserve">Experiment design</w:t>
      </w:r>
    </w:p>
    <w:p>
      <w:pPr>
        <w:pStyle w:val="FirstParagraph"/>
      </w:pPr>
      <w:r>
        <w:t xml:space="preserve">The best primary labels for the next phase are</w:t>
      </w:r>
      <w:r>
        <w:t xml:space="preserve"> </w:t>
      </w:r>
      <w:r>
        <w:rPr>
          <w:b/>
          <w:bCs/>
        </w:rPr>
        <w:t xml:space="preserve">not</w:t>
      </w:r>
      <w:r>
        <w:t xml:space="preserve"> </w:t>
      </w:r>
      <w:r>
        <w:t xml:space="preserve">plain next-3-candle direction. The best primary label is a</w:t>
      </w:r>
      <w:r>
        <w:t xml:space="preserve"> </w:t>
      </w:r>
      <w:r>
        <w:rPr>
          <w:b/>
          <w:bCs/>
        </w:rPr>
        <w:t xml:space="preserve">triple-barrier event label</w:t>
      </w:r>
      <w:r>
        <w:t xml:space="preserve"> </w:t>
      </w:r>
      <w:r>
        <w:t xml:space="preserve">with volatility-scaled profit-taking and stop-loss boundaries plus a vertical time limit. The best secondary label is a</w:t>
      </w:r>
      <w:r>
        <w:t xml:space="preserve"> </w:t>
      </w:r>
      <w:r>
        <w:rPr>
          <w:b/>
          <w:bCs/>
        </w:rPr>
        <w:t xml:space="preserve">meta-label</w:t>
      </w:r>
      <w:r>
        <w:t xml:space="preserve">: given a base signal from the incumbent, should the trade be taken at all. A strong auxiliary target is</w:t>
      </w:r>
      <w:r>
        <w:t xml:space="preserve"> </w:t>
      </w:r>
      <w:r>
        <w:rPr>
          <w:b/>
          <w:bCs/>
        </w:rPr>
        <w:t xml:space="preserve">probability of exceeding fee-plus-slippage threshold</w:t>
      </w:r>
      <w:r>
        <w:t xml:space="preserve"> </w:t>
      </w:r>
      <w:r>
        <w:t xml:space="preserve">within a horizon. If you want one more auxiliary target, use</w:t>
      </w:r>
      <w:r>
        <w:t xml:space="preserve"> </w:t>
      </w:r>
      <w:r>
        <w:rPr>
          <w:b/>
          <w:bCs/>
        </w:rPr>
        <w:t xml:space="preserve">volatility-adjusted forward return</w:t>
      </w:r>
      <w:r>
        <w:t xml:space="preserve"> </w:t>
      </w:r>
      <w:r>
        <w:t xml:space="preserve">or a small</w:t>
      </w:r>
      <w:r>
        <w:t xml:space="preserve"> </w:t>
      </w:r>
      <w:r>
        <w:rPr>
          <w:b/>
          <w:bCs/>
        </w:rPr>
        <w:t xml:space="preserve">horizon ensemble</w:t>
      </w:r>
      <w:r>
        <w:t xml:space="preserve"> </w:t>
      </w:r>
      <w:r>
        <w:t xml:space="preserve">over 3, 6, and 12 candles. This is the cleanest way to let HOLD become a first-class outcome rather than an afterthought.</w:t>
      </w:r>
      <w:r>
        <w:t xml:space="preserve"> </w:t>
      </w:r>
      <w:hyperlink r:id="rId25">
        <w:r>
          <w:rPr>
            <w:rStyle w:val="Hyperlink"/>
          </w:rPr>
          <w:t xml:space="preserve">[19]</w:t>
        </w:r>
      </w:hyperlink>
    </w:p>
    <w:p>
      <w:pPr>
        <w:pStyle w:val="BodyText"/>
      </w:pPr>
      <w:r>
        <w:t xml:space="preserve">The best baselines are the current</w:t>
      </w:r>
      <w:r>
        <w:t xml:space="preserve"> </w:t>
      </w:r>
      <w:r>
        <w:rPr>
          <w:b/>
          <w:bCs/>
        </w:rPr>
        <w:t xml:space="preserve">AutoGluon-backed incumbent</w:t>
      </w:r>
      <w:r>
        <w:t xml:space="preserve">, your existing persistence and dummy baselines, and a tiny family of</w:t>
      </w:r>
      <w:r>
        <w:t xml:space="preserve"> </w:t>
      </w:r>
      <w:r>
        <w:rPr>
          <w:b/>
          <w:bCs/>
        </w:rPr>
        <w:t xml:space="preserve">cost-aware threshold rules</w:t>
      </w:r>
      <w:r>
        <w:t xml:space="preserve"> </w:t>
      </w:r>
      <w:r>
        <w:t xml:space="preserve">built on incumbent probabilities. Keep one simple technical baseline as a sanity anchor, preferably a breakout or trading-range style rule, because the Bitcoin technical-analysis literature suggests that when any simple rule works, it tends to be in that family rather than in arbitrary deep architectures. Do</w:t>
      </w:r>
      <w:r>
        <w:t xml:space="preserve"> </w:t>
      </w:r>
      <w:r>
        <w:rPr>
          <w:b/>
          <w:bCs/>
        </w:rPr>
        <w:t xml:space="preserve">not</w:t>
      </w:r>
      <w:r>
        <w:t xml:space="preserve"> </w:t>
      </w:r>
      <w:r>
        <w:t xml:space="preserve">compare new models only against other fancy models. Compare them against “do nothing,” “take everything above 0.5,” and the current incumbent policy.</w:t>
      </w:r>
      <w:r>
        <w:t xml:space="preserve"> </w:t>
      </w:r>
      <w:hyperlink r:id="rId23">
        <w:r>
          <w:rPr>
            <w:rStyle w:val="Hyperlink"/>
          </w:rPr>
          <w:t xml:space="preserve">[3]</w:t>
        </w:r>
      </w:hyperlink>
      <w:r>
        <w:t xml:space="preserve"> </w:t>
      </w:r>
      <w:hyperlink r:id="rId37">
        <w:r>
          <w:rPr>
            <w:rStyle w:val="Hyperlink"/>
          </w:rPr>
          <w:t xml:space="preserve">[20]</w:t>
        </w:r>
      </w:hyperlink>
    </w:p>
    <w:p>
      <w:pPr>
        <w:pStyle w:val="BodyText"/>
      </w:pPr>
      <w:r>
        <w:t xml:space="preserve">Validation should stay brutally conservative. Use</w:t>
      </w:r>
      <w:r>
        <w:t xml:space="preserve"> </w:t>
      </w:r>
      <w:r>
        <w:rPr>
          <w:b/>
          <w:bCs/>
        </w:rPr>
        <w:t xml:space="preserve">anchored or rolling walk-forward splits with purge/embargo</w:t>
      </w:r>
      <w:r>
        <w:t xml:space="preserve">, keep one final untouched segment, and report symbol slices and regime slices separately. If you end up trying many label configurations, thresholds, or specialist candidates, track that search breadth explicitly and estimate backtest-overfitting risk rather than pretending the final winner emerged from a single clean hypothesis. The multiple-testing and backtest-overfitting literature is unambiguous on this point.</w:t>
      </w:r>
      <w:r>
        <w:t xml:space="preserve"> </w:t>
      </w:r>
      <w:hyperlink r:id="rId38">
        <w:r>
          <w:rPr>
            <w:rStyle w:val="Hyperlink"/>
          </w:rPr>
          <w:t xml:space="preserve">[21]</w:t>
        </w:r>
      </w:hyperlink>
    </w:p>
    <w:p>
      <w:pPr>
        <w:pStyle w:val="BodyText"/>
      </w:pPr>
      <w:r>
        <w:t xml:space="preserve">Your primary metrics should be</w:t>
      </w:r>
      <w:r>
        <w:t xml:space="preserve"> </w:t>
      </w:r>
      <w:r>
        <w:rPr>
          <w:b/>
          <w:bCs/>
        </w:rPr>
        <w:t xml:space="preserve">net expectancy per trade after fees/slippage</w:t>
      </w:r>
      <w:r>
        <w:t xml:space="preserve">,</w:t>
      </w:r>
      <w:r>
        <w:t xml:space="preserve"> </w:t>
      </w:r>
      <w:r>
        <w:rPr>
          <w:b/>
          <w:bCs/>
        </w:rPr>
        <w:t xml:space="preserve">max drawdown</w:t>
      </w:r>
      <w:r>
        <w:t xml:space="preserve">,</w:t>
      </w:r>
      <w:r>
        <w:t xml:space="preserve"> </w:t>
      </w:r>
      <w:r>
        <w:rPr>
          <w:b/>
          <w:bCs/>
        </w:rPr>
        <w:t xml:space="preserve">turnover/trade rate</w:t>
      </w:r>
      <w:r>
        <w:t xml:space="preserve">,</w:t>
      </w:r>
      <w:r>
        <w:t xml:space="preserve"> </w:t>
      </w:r>
      <w:r>
        <w:rPr>
          <w:b/>
          <w:bCs/>
        </w:rPr>
        <w:t xml:space="preserve">coverage or abstention rate</w:t>
      </w:r>
      <w:r>
        <w:t xml:space="preserve">, and</w:t>
      </w:r>
      <w:r>
        <w:t xml:space="preserve"> </w:t>
      </w:r>
      <w:r>
        <w:rPr>
          <w:b/>
          <w:bCs/>
        </w:rPr>
        <w:t xml:space="preserve">calibration</w:t>
      </w:r>
      <w:r>
        <w:t xml:space="preserve"> </w:t>
      </w:r>
      <w:r>
        <w:t xml:space="preserve">via Brier score or log loss. Directional accuracy can stay in the appendix, but it should not be the headline metric. Financial backtesting tools and docs consistently expose expectancy, drawdown, and trade-level diagnostics because those are much closer to deployability than raw hit rate.</w:t>
      </w:r>
      <w:r>
        <w:t xml:space="preserve"> </w:t>
      </w:r>
      <w:hyperlink r:id="rId35">
        <w:r>
          <w:rPr>
            <w:rStyle w:val="Hyperlink"/>
          </w:rPr>
          <w:t xml:space="preserve">[22]</w:t>
        </w:r>
      </w:hyperlink>
    </w:p>
    <w:p>
      <w:pPr>
        <w:pStyle w:val="BodyText"/>
      </w:pPr>
      <w:r>
        <w:t xml:space="preserve">For statistical checks, keep it simple and implementable. Use</w:t>
      </w:r>
      <w:r>
        <w:t xml:space="preserve"> </w:t>
      </w:r>
      <w:r>
        <w:rPr>
          <w:b/>
          <w:bCs/>
        </w:rPr>
        <w:t xml:space="preserve">paired block bootstrap confidence intervals</w:t>
      </w:r>
      <w:r>
        <w:t xml:space="preserve"> </w:t>
      </w:r>
      <w:r>
        <w:t xml:space="preserve">on net expectancy differences, keep an explicit count of candidate configurations tried, and if the search becomes wide, add a</w:t>
      </w:r>
      <w:r>
        <w:t xml:space="preserve"> </w:t>
      </w:r>
      <w:r>
        <w:rPr>
          <w:b/>
          <w:bCs/>
        </w:rPr>
        <w:t xml:space="preserve">Probability of Backtest Overfitting</w:t>
      </w:r>
      <w:r>
        <w:t xml:space="preserve"> </w:t>
      </w:r>
      <w:r>
        <w:t xml:space="preserve">or related multiple-testing adjustment to the report. That is more valuable here than adding one more neural architecture.</w:t>
      </w:r>
      <w:r>
        <w:t xml:space="preserve"> </w:t>
      </w:r>
      <w:hyperlink r:id="rId38">
        <w:r>
          <w:rPr>
            <w:rStyle w:val="Hyperlink"/>
          </w:rPr>
          <w:t xml:space="preserve">[23]</w:t>
        </w:r>
      </w:hyperlink>
    </w:p>
    <w:p>
      <w:pPr>
        <w:pStyle w:val="BodyText"/>
      </w:pPr>
      <w:r>
        <w:t xml:space="preserve">Against the existing AutoGluon incumbent, every comparison should use</w:t>
      </w:r>
      <w:r>
        <w:t xml:space="preserve"> </w:t>
      </w:r>
      <w:r>
        <w:rPr>
          <w:b/>
          <w:bCs/>
        </w:rPr>
        <w:t xml:space="preserve">the same timestamps, the same latency assumptions, the same fee/slippage model, and the same decision vocabulary</w:t>
      </w:r>
      <w:r>
        <w:t xml:space="preserve">. If a challenger “wins” only by trading much less, report that honestly. That is not disqualifying. In fact, if it improves coverage-adjusted expectancy or drawdown, that may be exactly the point.</w:t>
      </w:r>
      <w:r>
        <w:t xml:space="preserve"> </w:t>
      </w:r>
      <w:hyperlink r:id="rId21">
        <w:r>
          <w:rPr>
            <w:rStyle w:val="Hyperlink"/>
          </w:rPr>
          <w:t xml:space="preserve">[4]</w:t>
        </w:r>
      </w:hyperlink>
      <w:r>
        <w:t xml:space="preserve"> </w:t>
      </w:r>
      <w:hyperlink r:id="rId29">
        <w:r>
          <w:rPr>
            <w:rStyle w:val="Hyperlink"/>
          </w:rPr>
          <w:t xml:space="preserve">[24]</w:t>
        </w:r>
      </w:hyperlink>
    </w:p>
    <w:p>
      <w:pPr>
        <w:pStyle w:val="BodyText"/>
      </w:pPr>
      <w:r>
        <w:t xml:space="preserve">A short limitation note is warranted. Public literature does</w:t>
      </w:r>
      <w:r>
        <w:t xml:space="preserve"> </w:t>
      </w:r>
      <w:r>
        <w:rPr>
          <w:b/>
          <w:bCs/>
        </w:rPr>
        <w:t xml:space="preserve">not</w:t>
      </w:r>
      <w:r>
        <w:t xml:space="preserve"> </w:t>
      </w:r>
      <w:r>
        <w:t xml:space="preserve">support the stronger claim that short-horizon crypto edge is impossible. It supports the narrower claim that</w:t>
      </w:r>
      <w:r>
        <w:t xml:space="preserve"> </w:t>
      </w:r>
      <w:r>
        <w:rPr>
          <w:b/>
          <w:bCs/>
        </w:rPr>
        <w:t xml:space="preserve">OHLC-only, fixed-horizon directional edge is fragile and frequently dominated by costs, labeling choices, and data-generation assumptions</w:t>
      </w:r>
      <w:r>
        <w:t xml:space="preserve">, while richer microstructure data or trading-aware labels can materially change the picture.</w:t>
      </w:r>
      <w:r>
        <w:t xml:space="preserve"> </w:t>
      </w:r>
      <w:hyperlink r:id="rId28">
        <w:r>
          <w:rPr>
            <w:rStyle w:val="Hyperlink"/>
          </w:rPr>
          <w:t xml:space="preserve">[25]</w:t>
        </w:r>
      </w:hyperlink>
    </w:p>
    <w:bookmarkEnd w:id="39"/>
    <w:bookmarkStart w:id="40" w:name="portfolio-rescue"/>
    <w:p>
      <w:pPr>
        <w:pStyle w:val="Heading2"/>
      </w:pPr>
      <w:r>
        <w:t xml:space="preserve">Portfolio rescue</w:t>
      </w:r>
    </w:p>
    <w:p>
      <w:pPr>
        <w:pStyle w:val="FirstParagraph"/>
      </w:pPr>
      <w:r>
        <w:t xml:space="preserve">On GitHub</w:t>
      </w:r>
      <w:hyperlink r:id="rId24">
        <w:r>
          <w:rPr>
            <w:rStyle w:val="Hyperlink"/>
          </w:rPr>
          <w:t xml:space="preserve">[26]</w:t>
        </w:r>
      </w:hyperlink>
      <w:r>
        <w:t xml:space="preserve"> </w:t>
      </w:r>
      <w:r>
        <w:t xml:space="preserve">and your CV, describe Stream Alpha as a</w:t>
      </w:r>
      <w:r>
        <w:t xml:space="preserve"> </w:t>
      </w:r>
      <w:r>
        <w:rPr>
          <w:b/>
          <w:bCs/>
        </w:rPr>
        <w:t xml:space="preserve">local-first crypto trading research and operations platform</w:t>
      </w:r>
      <w:r>
        <w:t xml:space="preserve">, not as a profitable trading system. The strongest truthful pitch is that it integrates</w:t>
      </w:r>
      <w:r>
        <w:t xml:space="preserve"> </w:t>
      </w:r>
      <w:r>
        <w:rPr>
          <w:b/>
          <w:bCs/>
        </w:rPr>
        <w:t xml:space="preserve">data ingestion, feature generation, offline training, registry-backed artifacts, guarded runtime profiles, shadow evaluation, health monitoring, and evidence-based promotion gates</w:t>
      </w:r>
      <w:r>
        <w:t xml:space="preserve">—and that it explicitly records negative results instead of laundering them into fake progress.</w:t>
      </w:r>
      <w:r>
        <w:t xml:space="preserve"> </w:t>
      </w:r>
      <w:hyperlink r:id="rId24">
        <w:r>
          <w:rPr>
            <w:rStyle w:val="Hyperlink"/>
          </w:rPr>
          <w:t xml:space="preserve">[5]</w:t>
        </w:r>
      </w:hyperlink>
      <w:r>
        <w:t xml:space="preserve"> </w:t>
      </w:r>
      <w:hyperlink r:id="rId21">
        <w:r>
          <w:rPr>
            <w:rStyle w:val="Hyperlink"/>
          </w:rPr>
          <w:t xml:space="preserve">[4]</w:t>
        </w:r>
      </w:hyperlink>
    </w:p>
    <w:p>
      <w:pPr>
        <w:pStyle w:val="BodyText"/>
      </w:pPr>
      <w:r>
        <w:t xml:space="preserve">A good README positioning line would be:</w:t>
      </w:r>
      <w:r>
        <w:t xml:space="preserve"> </w:t>
      </w:r>
      <w:r>
        <w:rPr>
          <w:b/>
          <w:bCs/>
        </w:rPr>
        <w:t xml:space="preserve">“Stream Alpha is a Dockerized local-first research stack for crypto market data, model governance, and guarded paper/shadow execution, designed to test models honestly and reject non-robust challengers.”</w:t>
      </w:r>
      <w:r>
        <w:t xml:space="preserve"> </w:t>
      </w:r>
      <w:r>
        <w:t xml:space="preserve">A good CV line would be:</w:t>
      </w:r>
      <w:r>
        <w:t xml:space="preserve"> </w:t>
      </w:r>
      <w:r>
        <w:rPr>
          <w:b/>
          <w:bCs/>
        </w:rPr>
        <w:t xml:space="preserve">“Built a registry-backed crypto research platform with cost-aware offline evaluation, runtime mode separation, shadow challenger analysis, and negative-result milestone reporting.”</w:t>
      </w:r>
      <w:r>
        <w:t xml:space="preserve"> </w:t>
      </w:r>
      <w:r>
        <w:t xml:space="preserve">Those statements are attractive precisely because they are believable.</w:t>
      </w:r>
      <w:r>
        <w:t xml:space="preserve"> </w:t>
      </w:r>
      <w:hyperlink r:id="rId24">
        <w:r>
          <w:rPr>
            <w:rStyle w:val="Hyperlink"/>
          </w:rPr>
          <w:t xml:space="preserve">[5]</w:t>
        </w:r>
      </w:hyperlink>
    </w:p>
    <w:p>
      <w:pPr>
        <w:pStyle w:val="BodyText"/>
      </w:pPr>
      <w:r>
        <w:t xml:space="preserve">The most impressive screenshots and artifacts are not PnL curves alone. Use a clean architecture diagram, the</w:t>
      </w:r>
      <w:r>
        <w:t xml:space="preserve"> </w:t>
      </w:r>
      <w:r>
        <w:rPr>
          <w:rStyle w:val="VerbatimChar"/>
        </w:rPr>
        <w:t xml:space="preserve">/health</w:t>
      </w:r>
      <w:r>
        <w:t xml:space="preserve"> </w:t>
      </w:r>
      <w:r>
        <w:t xml:space="preserve">or dashboard view showing truthful ensemble identity, a model-registry snapshot, an artifact tree for one completed training run, a regime or adaptation panel, and a research report page showing that NHITS/PatchTST were tested and rejected under explicit criteria. Show the pipeline from</w:t>
      </w:r>
      <w:r>
        <w:t xml:space="preserve"> </w:t>
      </w:r>
      <w:r>
        <w:rPr>
          <w:rStyle w:val="VerbatimChar"/>
        </w:rPr>
        <w:t xml:space="preserve">raw_ohlc</w:t>
      </w:r>
      <w:r>
        <w:t xml:space="preserve"> </w:t>
      </w:r>
      <w:r>
        <w:t xml:space="preserve">to</w:t>
      </w:r>
      <w:r>
        <w:t xml:space="preserve"> </w:t>
      </w:r>
      <w:r>
        <w:rPr>
          <w:rStyle w:val="VerbatimChar"/>
        </w:rPr>
        <w:t xml:space="preserve">feature_ohlc</w:t>
      </w:r>
      <w:r>
        <w:t xml:space="preserve"> </w:t>
      </w:r>
      <w:r>
        <w:t xml:space="preserve">to training artifacts to runtime discovery. That tells a much stronger engineering story than a cherry-picked equity chart.</w:t>
      </w:r>
      <w:r>
        <w:t xml:space="preserve"> </w:t>
      </w:r>
      <w:hyperlink r:id="rId24">
        <w:r>
          <w:rPr>
            <w:rStyle w:val="Hyperlink"/>
          </w:rPr>
          <w:t xml:space="preserve">[5]</w:t>
        </w:r>
      </w:hyperlink>
      <w:r>
        <w:t xml:space="preserve"> </w:t>
      </w:r>
      <w:hyperlink r:id="rId21">
        <w:r>
          <w:rPr>
            <w:rStyle w:val="Hyperlink"/>
          </w:rPr>
          <w:t xml:space="preserve">[4]</w:t>
        </w:r>
      </w:hyperlink>
    </w:p>
    <w:p>
      <w:pPr>
        <w:pStyle w:val="BodyText"/>
      </w:pPr>
      <w:r>
        <w:t xml:space="preserve">Present the negative M20 result as</w:t>
      </w:r>
      <w:r>
        <w:t xml:space="preserve"> </w:t>
      </w:r>
      <w:r>
        <w:rPr>
          <w:b/>
          <w:bCs/>
        </w:rPr>
        <w:t xml:space="preserve">engineering maturity</w:t>
      </w:r>
      <w:r>
        <w:t xml:space="preserve">. The message is not “my models failed.” The message is “my platform had enough governance and validation to prevent weak specialists from being promoted.” In a hiring context, that is often more impressive than an unverified profitability claim.</w:t>
      </w:r>
      <w:r>
        <w:t xml:space="preserve"> </w:t>
      </w:r>
      <w:hyperlink r:id="rId31">
        <w:r>
          <w:rPr>
            <w:rStyle w:val="Hyperlink"/>
          </w:rPr>
          <w:t xml:space="preserve">[18]</w:t>
        </w:r>
      </w:hyperlink>
    </w:p>
    <w:bookmarkEnd w:id="40"/>
    <w:bookmarkStart w:id="42" w:name="codex-ready-implementation-plan"/>
    <w:p>
      <w:pPr>
        <w:pStyle w:val="Heading2"/>
      </w:pPr>
      <w:r>
        <w:t xml:space="preserve">Codex-ready implementation plan</w:t>
      </w:r>
    </w:p>
    <w:p>
      <w:pPr>
        <w:pStyle w:val="FirstParagraph"/>
      </w:pPr>
      <w:r>
        <w:t xml:space="preserve">The safest first patch is</w:t>
      </w:r>
      <w:r>
        <w:t xml:space="preserve"> </w:t>
      </w:r>
      <w:r>
        <w:rPr>
          <w:b/>
          <w:bCs/>
        </w:rPr>
        <w:t xml:space="preserve">not</w:t>
      </w:r>
      <w:r>
        <w:t xml:space="preserve"> </w:t>
      </w:r>
      <w:r>
        <w:t xml:space="preserve">a full relabeling rewrite and</w:t>
      </w:r>
      <w:r>
        <w:t xml:space="preserve"> </w:t>
      </w:r>
      <w:r>
        <w:rPr>
          <w:b/>
          <w:bCs/>
        </w:rPr>
        <w:t xml:space="preserve">not</w:t>
      </w:r>
      <w:r>
        <w:t xml:space="preserve"> </w:t>
      </w:r>
      <w:r>
        <w:t xml:space="preserve">a new runtime model. It is a</w:t>
      </w:r>
      <w:r>
        <w:t xml:space="preserve"> </w:t>
      </w:r>
      <w:r>
        <w:rPr>
          <w:b/>
          <w:bCs/>
        </w:rPr>
        <w:t xml:space="preserve">research-only policy evaluator</w:t>
      </w:r>
      <w:r>
        <w:t xml:space="preserve"> </w:t>
      </w:r>
      <w:r>
        <w:t xml:space="preserve">on top of the current incumbent outputs. That lets you test the new M20 framing with minimal blast radius. It also fits the repo’s existing habit of artifact-backed validation and focused</w:t>
      </w:r>
      <w:r>
        <w:t xml:space="preserve"> </w:t>
      </w:r>
      <w:r>
        <w:rPr>
          <w:rStyle w:val="VerbatimChar"/>
        </w:rPr>
        <w:t xml:space="preserve">pytest</w:t>
      </w:r>
      <w:r>
        <w:t xml:space="preserve"> </w:t>
      </w:r>
      <w:r>
        <w:t xml:space="preserve">plus</w:t>
      </w:r>
      <w:r>
        <w:t xml:space="preserve"> </w:t>
      </w:r>
      <w:r>
        <w:rPr>
          <w:rStyle w:val="VerbatimChar"/>
        </w:rPr>
        <w:t xml:space="preserve">pylint</w:t>
      </w:r>
      <w:r>
        <w:t xml:space="preserve"> </w:t>
      </w:r>
      <w:r>
        <w:t xml:space="preserve">checks.</w:t>
      </w:r>
      <w:r>
        <w:t xml:space="preserve"> </w:t>
      </w:r>
      <w:hyperlink r:id="rId24">
        <w:r>
          <w:rPr>
            <w:rStyle w:val="Hyperlink"/>
          </w:rPr>
          <w:t xml:space="preserve">[5]</w:t>
        </w:r>
      </w:hyperlink>
      <w:r>
        <w:t xml:space="preserve"> </w:t>
      </w:r>
      <w:hyperlink r:id="rId41">
        <w:r>
          <w:rPr>
            <w:rStyle w:val="Hyperlink"/>
          </w:rPr>
          <w:t xml:space="preserve">[27]</w:t>
        </w:r>
      </w:hyperlink>
    </w:p>
    <w:p>
      <w:pPr>
        <w:pStyle w:val="SourceCode"/>
      </w:pPr>
      <w:r>
        <w:rPr>
          <w:rStyle w:val="VerbatimChar"/>
        </w:rPr>
        <w:t xml:space="preserve">You are working in the Stream Alpha repository.</w:t>
      </w:r>
      <w:r>
        <w:br/>
      </w:r>
      <w:r>
        <w:br/>
      </w:r>
      <w:r>
        <w:rPr>
          <w:rStyle w:val="VerbatimChar"/>
        </w:rPr>
        <w:t xml:space="preserve">Goal:</w:t>
      </w:r>
      <w:r>
        <w:br/>
      </w:r>
      <w:r>
        <w:rPr>
          <w:rStyle w:val="VerbatimChar"/>
        </w:rPr>
        <w:t xml:space="preserve">Implement the smallest safe recovery patch for M20 by adding a research-only decision-policy evaluation layer on top of the existing offline training artifacts. Do NOT rewrite the system. Do NOT change guarded runtime behavior. Do NOT imply promotion. Do NOT add real-money trading logic.</w:t>
      </w:r>
      <w:r>
        <w:br/>
      </w:r>
      <w:r>
        <w:br/>
      </w:r>
      <w:r>
        <w:rPr>
          <w:rStyle w:val="VerbatimChar"/>
        </w:rPr>
        <w:t xml:space="preserve">Context to preserve:</w:t>
      </w:r>
      <w:r>
        <w:br/>
      </w:r>
      <w:r>
        <w:rPr>
          <w:rStyle w:val="VerbatimChar"/>
        </w:rPr>
        <w:t xml:space="preserve">- Current runtime authority stays with the existing registry/runtime path.</w:t>
      </w:r>
      <w:r>
        <w:br/>
      </w:r>
      <w:r>
        <w:rPr>
          <w:rStyle w:val="VerbatimChar"/>
        </w:rPr>
        <w:t xml:space="preserve">- M20 is being reframed from “specialist forecasters must beat incumbent on raw direction” to “context-aware decision selection may improve expectancy or reduce drawdown.”</w:t>
      </w:r>
      <w:r>
        <w:br/>
      </w:r>
      <w:r>
        <w:rPr>
          <w:rStyle w:val="VerbatimChar"/>
        </w:rPr>
        <w:t xml:space="preserve">- Keep training/runtime separation intact.</w:t>
      </w:r>
      <w:r>
        <w:br/>
      </w:r>
      <w:r>
        <w:rPr>
          <w:rStyle w:val="VerbatimChar"/>
        </w:rPr>
        <w:t xml:space="preserve">- Keep promotion semantics intact.</w:t>
      </w:r>
      <w:r>
        <w:br/>
      </w:r>
      <w:r>
        <w:rPr>
          <w:rStyle w:val="VerbatimChar"/>
        </w:rPr>
        <w:t xml:space="preserve">- NeuralForecast remains lab-only for now.</w:t>
      </w:r>
      <w:r>
        <w:br/>
      </w:r>
      <w:r>
        <w:rPr>
          <w:rStyle w:val="VerbatimChar"/>
        </w:rPr>
        <w:t xml:space="preserve">- No new live execution paths.</w:t>
      </w:r>
      <w:r>
        <w:br/>
      </w:r>
      <w:r>
        <w:br/>
      </w:r>
      <w:r>
        <w:rPr>
          <w:rStyle w:val="VerbatimChar"/>
        </w:rPr>
        <w:t xml:space="preserve">Patch scope:</w:t>
      </w:r>
      <w:r>
        <w:br/>
      </w:r>
      <w:r>
        <w:rPr>
          <w:rStyle w:val="VerbatimChar"/>
        </w:rPr>
        <w:t xml:space="preserve">1. Add a new offline module for research-only policy evaluation, for example:</w:t>
      </w:r>
      <w:r>
        <w:br/>
      </w:r>
      <w:r>
        <w:rPr>
          <w:rStyle w:val="VerbatimChar"/>
        </w:rPr>
        <w:t xml:space="preserve">   - app/training/policy_eval.py</w:t>
      </w:r>
      <w:r>
        <w:br/>
      </w:r>
      <w:r>
        <w:rPr>
          <w:rStyle w:val="VerbatimChar"/>
        </w:rPr>
        <w:t xml:space="preserve">   - optional helper script: scripts/analyze_m20_policy_candidates.py</w:t>
      </w:r>
      <w:r>
        <w:br/>
      </w:r>
      <w:r>
        <w:rPr>
          <w:rStyle w:val="VerbatimChar"/>
        </w:rPr>
        <w:t xml:space="preserve">2. Input existing completed-run artifacts such as:</w:t>
      </w:r>
      <w:r>
        <w:br/>
      </w:r>
      <w:r>
        <w:rPr>
          <w:rStyle w:val="VerbatimChar"/>
        </w:rPr>
        <w:t xml:space="preserve">   - oof_predictions.csv</w:t>
      </w:r>
      <w:r>
        <w:br/>
      </w:r>
      <w:r>
        <w:rPr>
          <w:rStyle w:val="VerbatimChar"/>
        </w:rPr>
        <w:t xml:space="preserve">   - summary.json</w:t>
      </w:r>
      <w:r>
        <w:br/>
      </w:r>
      <w:r>
        <w:rPr>
          <w:rStyle w:val="VerbatimChar"/>
        </w:rPr>
        <w:t xml:space="preserve">   - specialist verdict info if present</w:t>
      </w:r>
      <w:r>
        <w:br/>
      </w:r>
      <w:r>
        <w:rPr>
          <w:rStyle w:val="VerbatimChar"/>
        </w:rPr>
        <w:t xml:space="preserve">3. Implement threshold-based BUY/HOLD policy evaluation over model probabilities with:</w:t>
      </w:r>
      <w:r>
        <w:br/>
      </w:r>
      <w:r>
        <w:rPr>
          <w:rStyle w:val="VerbatimChar"/>
        </w:rPr>
        <w:t xml:space="preserve">   - global threshold sweep</w:t>
      </w:r>
      <w:r>
        <w:br/>
      </w:r>
      <w:r>
        <w:rPr>
          <w:rStyle w:val="VerbatimChar"/>
        </w:rPr>
        <w:t xml:space="preserve">   - regime-conditional threshold sweep if regime labels are already available</w:t>
      </w:r>
      <w:r>
        <w:br/>
      </w:r>
      <w:r>
        <w:rPr>
          <w:rStyle w:val="VerbatimChar"/>
        </w:rPr>
        <w:t xml:space="preserve">   - coverage / abstention rate</w:t>
      </w:r>
      <w:r>
        <w:br/>
      </w:r>
      <w:r>
        <w:rPr>
          <w:rStyle w:val="VerbatimChar"/>
        </w:rPr>
        <w:t xml:space="preserve">   - trade count</w:t>
      </w:r>
      <w:r>
        <w:br/>
      </w:r>
      <w:r>
        <w:rPr>
          <w:rStyle w:val="VerbatimChar"/>
        </w:rPr>
        <w:t xml:space="preserve">   - mean net value proxy</w:t>
      </w:r>
      <w:r>
        <w:br/>
      </w:r>
      <w:r>
        <w:rPr>
          <w:rStyle w:val="VerbatimChar"/>
        </w:rPr>
        <w:t xml:space="preserve">   - cumulative net value proxy</w:t>
      </w:r>
      <w:r>
        <w:br/>
      </w:r>
      <w:r>
        <w:rPr>
          <w:rStyle w:val="VerbatimChar"/>
        </w:rPr>
        <w:t xml:space="preserve">   - max drawdown</w:t>
      </w:r>
      <w:r>
        <w:br/>
      </w:r>
      <w:r>
        <w:rPr>
          <w:rStyle w:val="VerbatimChar"/>
        </w:rPr>
        <w:t xml:space="preserve">   - Brier score / log loss if probabilities available</w:t>
      </w:r>
      <w:r>
        <w:br/>
      </w:r>
      <w:r>
        <w:rPr>
          <w:rStyle w:val="VerbatimChar"/>
        </w:rPr>
        <w:t xml:space="preserve">4. Emit deterministic artifacts, for example:</w:t>
      </w:r>
      <w:r>
        <w:br/>
      </w:r>
      <w:r>
        <w:rPr>
          <w:rStyle w:val="VerbatimChar"/>
        </w:rPr>
        <w:t xml:space="preserve">   - policy_candidates.csv</w:t>
      </w:r>
      <w:r>
        <w:br/>
      </w:r>
      <w:r>
        <w:rPr>
          <w:rStyle w:val="VerbatimChar"/>
        </w:rPr>
        <w:t xml:space="preserve">   - policy_report.json</w:t>
      </w:r>
      <w:r>
        <w:br/>
      </w:r>
      <w:r>
        <w:rPr>
          <w:rStyle w:val="VerbatimChar"/>
        </w:rPr>
        <w:t xml:space="preserve">   - policy_report.md</w:t>
      </w:r>
      <w:r>
        <w:br/>
      </w:r>
      <w:r>
        <w:rPr>
          <w:rStyle w:val="VerbatimChar"/>
        </w:rPr>
        <w:t xml:space="preserve">5. Add focused tests:</w:t>
      </w:r>
      <w:r>
        <w:br/>
      </w:r>
      <w:r>
        <w:rPr>
          <w:rStyle w:val="VerbatimChar"/>
        </w:rPr>
        <w:t xml:space="preserve">   - threshold sweep correctness</w:t>
      </w:r>
      <w:r>
        <w:br/>
      </w:r>
      <w:r>
        <w:rPr>
          <w:rStyle w:val="VerbatimChar"/>
        </w:rPr>
        <w:t xml:space="preserve">   - abstention handling</w:t>
      </w:r>
      <w:r>
        <w:br/>
      </w:r>
      <w:r>
        <w:rPr>
          <w:rStyle w:val="VerbatimChar"/>
        </w:rPr>
        <w:t xml:space="preserve">   - drawdown calculation</w:t>
      </w:r>
      <w:r>
        <w:br/>
      </w:r>
      <w:r>
        <w:rPr>
          <w:rStyle w:val="VerbatimChar"/>
        </w:rPr>
        <w:t xml:space="preserve">   - identical-row comparison vs incumbent baseline policy</w:t>
      </w:r>
      <w:r>
        <w:br/>
      </w:r>
      <w:r>
        <w:rPr>
          <w:rStyle w:val="VerbatimChar"/>
        </w:rPr>
        <w:t xml:space="preserve">   - no-leakage / no look-ahead assumptions in offline evaluation</w:t>
      </w:r>
      <w:r>
        <w:br/>
      </w:r>
      <w:r>
        <w:rPr>
          <w:rStyle w:val="VerbatimChar"/>
        </w:rPr>
        <w:t xml:space="preserve">6. Update docs honestly:</w:t>
      </w:r>
      <w:r>
        <w:br/>
      </w:r>
      <w:r>
        <w:rPr>
          <w:rStyle w:val="VerbatimChar"/>
        </w:rPr>
        <w:t xml:space="preserve">   - README.md</w:t>
      </w:r>
      <w:r>
        <w:br/>
      </w:r>
      <w:r>
        <w:rPr>
          <w:rStyle w:val="VerbatimChar"/>
        </w:rPr>
        <w:t xml:space="preserve">   - docs/training.md if present</w:t>
      </w:r>
      <w:r>
        <w:br/>
      </w:r>
      <w:r>
        <w:rPr>
          <w:rStyle w:val="VerbatimChar"/>
        </w:rPr>
        <w:t xml:space="preserve">   - PLANS.md</w:t>
      </w:r>
      <w:r>
        <w:br/>
      </w:r>
      <w:r>
        <w:rPr>
          <w:rStyle w:val="VerbatimChar"/>
        </w:rPr>
        <w:t xml:space="preserve">   State clearly that this is research-only and not a runtime promotion.</w:t>
      </w:r>
      <w:r>
        <w:br/>
      </w:r>
      <w:r>
        <w:br/>
      </w:r>
      <w:r>
        <w:rPr>
          <w:rStyle w:val="VerbatimChar"/>
        </w:rPr>
        <w:t xml:space="preserve">Constraints:</w:t>
      </w:r>
      <w:r>
        <w:br/>
      </w:r>
      <w:r>
        <w:rPr>
          <w:rStyle w:val="VerbatimChar"/>
        </w:rPr>
        <w:t xml:space="preserve">- Smallest safe patch first.</w:t>
      </w:r>
      <w:r>
        <w:br/>
      </w:r>
      <w:r>
        <w:rPr>
          <w:rStyle w:val="VerbatimChar"/>
        </w:rPr>
        <w:t xml:space="preserve">- No new heavyweight dependencies unless absolutely necessary.</w:t>
      </w:r>
      <w:r>
        <w:br/>
      </w:r>
      <w:r>
        <w:rPr>
          <w:rStyle w:val="VerbatimChar"/>
        </w:rPr>
        <w:t xml:space="preserve">- No database schema change unless required for artifact persistence.</w:t>
      </w:r>
      <w:r>
        <w:br/>
      </w:r>
      <w:r>
        <w:rPr>
          <w:rStyle w:val="VerbatimChar"/>
        </w:rPr>
        <w:t xml:space="preserve">- No runtime API breaking changes.</w:t>
      </w:r>
      <w:r>
        <w:br/>
      </w:r>
      <w:r>
        <w:rPr>
          <w:rStyle w:val="VerbatimChar"/>
        </w:rPr>
        <w:t xml:space="preserve">- No full label rewrite in this patch.</w:t>
      </w:r>
      <w:r>
        <w:br/>
      </w:r>
      <w:r>
        <w:rPr>
          <w:rStyle w:val="VerbatimChar"/>
        </w:rPr>
        <w:t xml:space="preserve">- No claims of profitability.</w:t>
      </w:r>
      <w:r>
        <w:br/>
      </w:r>
      <w:r>
        <w:rPr>
          <w:rStyle w:val="VerbatimChar"/>
        </w:rPr>
        <w:t xml:space="preserve">- No hidden TODOs; if something is intentionally postponed, write it explicitly.</w:t>
      </w:r>
      <w:r>
        <w:br/>
      </w:r>
      <w:r>
        <w:br/>
      </w:r>
      <w:r>
        <w:rPr>
          <w:rStyle w:val="VerbatimChar"/>
        </w:rPr>
        <w:t xml:space="preserve">Implementation guidance:</w:t>
      </w:r>
      <w:r>
        <w:br/>
      </w:r>
      <w:r>
        <w:rPr>
          <w:rStyle w:val="VerbatimChar"/>
        </w:rPr>
        <w:t xml:space="preserve">- Reuse existing prediction and verdict structures where possible.</w:t>
      </w:r>
      <w:r>
        <w:br/>
      </w:r>
      <w:r>
        <w:rPr>
          <w:rStyle w:val="VerbatimChar"/>
        </w:rPr>
        <w:t xml:space="preserve">- Prefer pure Python and pandas/numpy already in repo.</w:t>
      </w:r>
      <w:r>
        <w:br/>
      </w:r>
      <w:r>
        <w:rPr>
          <w:rStyle w:val="VerbatimChar"/>
        </w:rPr>
        <w:t xml:space="preserve">- Keep outputs deterministic.</w:t>
      </w:r>
      <w:r>
        <w:br/>
      </w:r>
      <w:r>
        <w:rPr>
          <w:rStyle w:val="VerbatimChar"/>
        </w:rPr>
        <w:t xml:space="preserve">- If the run directory is incomplete, fail with a clear operator-readable message.</w:t>
      </w:r>
      <w:r>
        <w:br/>
      </w:r>
      <w:r>
        <w:rPr>
          <w:rStyle w:val="VerbatimChar"/>
        </w:rPr>
        <w:t xml:space="preserve">- If regime labels are unavailable, still support global policy evaluation.</w:t>
      </w:r>
      <w:r>
        <w:br/>
      </w:r>
      <w:r>
        <w:br/>
      </w:r>
      <w:r>
        <w:rPr>
          <w:rStyle w:val="VerbatimChar"/>
        </w:rPr>
        <w:t xml:space="preserve">Validation commands:</w:t>
      </w:r>
      <w:r>
        <w:br/>
      </w:r>
      <w:r>
        <w:rPr>
          <w:rStyle w:val="VerbatimChar"/>
        </w:rPr>
        <w:t xml:space="preserve">- python -m pytest tests/test_training_policy_eval.py -q</w:t>
      </w:r>
      <w:r>
        <w:br/>
      </w:r>
      <w:r>
        <w:rPr>
          <w:rStyle w:val="VerbatimChar"/>
        </w:rPr>
        <w:t xml:space="preserve">- python -m pylint app/training/policy_eval.py tests/test_training_policy_eval.py</w:t>
      </w:r>
      <w:r>
        <w:br/>
      </w:r>
      <w:r>
        <w:rPr>
          <w:rStyle w:val="VerbatimChar"/>
        </w:rPr>
        <w:t xml:space="preserve">- python scripts/analyze_m20_policy_candidates.py --run-dir &lt;existing_completed_run_dir&gt;</w:t>
      </w:r>
      <w:r>
        <w:br/>
      </w:r>
      <w:r>
        <w:br/>
      </w:r>
      <w:r>
        <w:rPr>
          <w:rStyle w:val="VerbatimChar"/>
        </w:rPr>
        <w:t xml:space="preserve">Definition of done:</w:t>
      </w:r>
      <w:r>
        <w:br/>
      </w:r>
      <w:r>
        <w:rPr>
          <w:rStyle w:val="VerbatimChar"/>
        </w:rPr>
        <w:t xml:space="preserve">- A completed offline run can be post-processed into a research-only policy report.</w:t>
      </w:r>
      <w:r>
        <w:br/>
      </w:r>
      <w:r>
        <w:rPr>
          <w:rStyle w:val="VerbatimChar"/>
        </w:rPr>
        <w:t xml:space="preserve">- The report compares simple BUY/HOLD threshold policies against the current default take-all-above-0.5 style baseline (or the repo’s current equivalent).</w:t>
      </w:r>
      <w:r>
        <w:br/>
      </w:r>
      <w:r>
        <w:rPr>
          <w:rStyle w:val="VerbatimChar"/>
        </w:rPr>
        <w:t xml:space="preserve">- Docs clearly say this does not change runtime roster or promotion status.</w:t>
      </w:r>
      <w:r>
        <w:br/>
      </w:r>
      <w:r>
        <w:rPr>
          <w:rStyle w:val="VerbatimChar"/>
        </w:rPr>
        <w:t xml:space="preserve">- Tests pass.</w:t>
      </w:r>
      <w:r>
        <w:br/>
      </w:r>
      <w:r>
        <w:rPr>
          <w:rStyle w:val="VerbatimChar"/>
        </w:rPr>
        <w:t xml:space="preserve">- The patch is small, auditable, and reversible.</w:t>
      </w:r>
      <w:r>
        <w:br/>
      </w:r>
      <w:r>
        <w:br/>
      </w:r>
      <w:r>
        <w:rPr>
          <w:rStyle w:val="VerbatimChar"/>
        </w:rPr>
        <w:t xml:space="preserve">After coding:</w:t>
      </w:r>
      <w:r>
        <w:br/>
      </w:r>
      <w:r>
        <w:rPr>
          <w:rStyle w:val="VerbatimChar"/>
        </w:rPr>
        <w:t xml:space="preserve">- Summarize exactly what changed.</w:t>
      </w:r>
      <w:r>
        <w:br/>
      </w:r>
      <w:r>
        <w:rPr>
          <w:rStyle w:val="VerbatimChar"/>
        </w:rPr>
        <w:t xml:space="preserve">- List validation commands run.</w:t>
      </w:r>
      <w:r>
        <w:br/>
      </w:r>
      <w:r>
        <w:rPr>
          <w:rStyle w:val="VerbatimChar"/>
        </w:rPr>
        <w:t xml:space="preserve">- State any follow-up batch that should come next, but do not implement that next batch now.</w:t>
      </w:r>
    </w:p>
    <w:p>
      <w:pPr>
        <w:pStyle w:val="FirstParagraph"/>
      </w:pPr>
      <w:r>
        <w:t xml:space="preserve">The next batch after that prompt should be the label upgrade: triple-barrier, fee-exceedance, and meta-labeling. But the first patch above is the right move because it tests the new thesis cheaply:</w:t>
      </w:r>
      <w:r>
        <w:t xml:space="preserve"> </w:t>
      </w:r>
      <w:r>
        <w:rPr>
          <w:b/>
          <w:bCs/>
        </w:rPr>
        <w:t xml:space="preserve">perhaps the way out is not a better forecaster, but a better refusal-to-trade rule.</w:t>
      </w:r>
      <w:r>
        <w:t xml:space="preserve"> </w:t>
      </w:r>
      <w:hyperlink r:id="rId25">
        <w:r>
          <w:rPr>
            <w:rStyle w:val="Hyperlink"/>
          </w:rPr>
          <w:t xml:space="preserve">[28]</w:t>
        </w:r>
      </w:hyperlink>
    </w:p>
    <w:bookmarkEnd w:id="42"/>
    <w:bookmarkEnd w:id="43"/>
    <w:bookmarkEnd w:id="44"/>
    <w:p>
      <w:r>
        <w:pict>
          <v:rect style="width:0;height:1.5pt" o:hralign="center" o:hrstd="t" o:hr="t"/>
        </w:pict>
      </w:r>
    </w:p>
    <w:bookmarkStart w:id="45" w:name="citations"/>
    <w:p>
      <w:pPr>
        <w:pStyle w:val="FirstParagraph"/>
      </w:pPr>
      <w:hyperlink r:id="rId21">
        <w:r>
          <w:rPr>
            <w:rStyle w:val="Hyperlink"/>
          </w:rPr>
          <w:t xml:space="preserve">[4]</w:t>
        </w:r>
      </w:hyperlink>
      <w:r>
        <w:t xml:space="preserve"> </w:t>
      </w:r>
      <w:r>
        <w:t xml:space="preserve">research.py</w:t>
      </w:r>
    </w:p>
    <w:p>
      <w:pPr>
        <w:pStyle w:val="BodyText"/>
      </w:pPr>
      <w:hyperlink r:id="rId21">
        <w:r>
          <w:rPr>
            <w:rStyle w:val="Hyperlink"/>
          </w:rPr>
          <w:t xml:space="preserve">https://github.com/Arashmehrdad/Stream_Alpha/blob/7c2296e3dcd99dd4fcbf664fa6e30d7b3be4a0fd/app/ensemble/research.py</w:t>
        </w:r>
      </w:hyperlink>
    </w:p>
    <w:p>
      <w:pPr>
        <w:pStyle w:val="BodyText"/>
      </w:pPr>
      <w:hyperlink r:id="rId22">
        <w:r>
          <w:rPr>
            <w:rStyle w:val="Hyperlink"/>
          </w:rPr>
          <w:t xml:space="preserve">[2]</w:t>
        </w:r>
      </w:hyperlink>
      <w:r>
        <w:t xml:space="preserve"> </w:t>
      </w:r>
      <w:r>
        <w:t xml:space="preserve">training.m20.json</w:t>
      </w:r>
    </w:p>
    <w:p>
      <w:pPr>
        <w:pStyle w:val="BodyText"/>
      </w:pPr>
      <w:hyperlink r:id="rId22">
        <w:r>
          <w:rPr>
            <w:rStyle w:val="Hyperlink"/>
          </w:rPr>
          <w:t xml:space="preserve">https://github.com/Arashmehrdad/Stream_Alpha/blob/7c2296e3dcd99dd4fcbf664fa6e30d7b3be4a0fd/configs/training.m20.json</w:t>
        </w:r>
      </w:hyperlink>
    </w:p>
    <w:p>
      <w:pPr>
        <w:pStyle w:val="BodyText"/>
      </w:pPr>
      <w:hyperlink r:id="rId23">
        <w:r>
          <w:rPr>
            <w:rStyle w:val="Hyperlink"/>
          </w:rPr>
          <w:t xml:space="preserve">[3]</w:t>
        </w:r>
      </w:hyperlink>
      <w:r>
        <w:t xml:space="preserve"> </w:t>
      </w:r>
      <w:r>
        <w:t xml:space="preserve">service.py</w:t>
      </w:r>
    </w:p>
    <w:p>
      <w:pPr>
        <w:pStyle w:val="BodyText"/>
      </w:pPr>
      <w:hyperlink r:id="rId23">
        <w:r>
          <w:rPr>
            <w:rStyle w:val="Hyperlink"/>
          </w:rPr>
          <w:t xml:space="preserve">https://github.com/Arashmehrdad/Stream_Alpha/blob/7c2296e3dcd99dd4fcbf664fa6e30d7b3be4a0fd/app/training/service.py</w:t>
        </w:r>
      </w:hyperlink>
    </w:p>
    <w:p>
      <w:pPr>
        <w:pStyle w:val="BodyText"/>
      </w:pPr>
      <w:hyperlink r:id="rId24">
        <w:r>
          <w:rPr>
            <w:rStyle w:val="Hyperlink"/>
          </w:rPr>
          <w:t xml:space="preserve">[5]</w:t>
        </w:r>
      </w:hyperlink>
      <w:r>
        <w:t xml:space="preserve"> </w:t>
      </w:r>
      <w:hyperlink r:id="rId24">
        <w:r>
          <w:rPr>
            <w:rStyle w:val="Hyperlink"/>
          </w:rPr>
          <w:t xml:space="preserve">[26]</w:t>
        </w:r>
      </w:hyperlink>
      <w:r>
        <w:t xml:space="preserve"> </w:t>
      </w:r>
      <w:r>
        <w:t xml:space="preserve">PLANS.md</w:t>
      </w:r>
    </w:p>
    <w:p>
      <w:pPr>
        <w:pStyle w:val="BodyText"/>
      </w:pPr>
      <w:hyperlink r:id="rId24">
        <w:r>
          <w:rPr>
            <w:rStyle w:val="Hyperlink"/>
          </w:rPr>
          <w:t xml:space="preserve">https://github.com/Arashmehrdad/Stream_Alpha/blob/7c2296e3dcd99dd4fcbf664fa6e30d7b3be4a0fd/PLANS.md</w:t>
        </w:r>
      </w:hyperlink>
    </w:p>
    <w:p>
      <w:pPr>
        <w:pStyle w:val="BodyText"/>
      </w:pPr>
      <w:hyperlink r:id="rId25">
        <w:r>
          <w:rPr>
            <w:rStyle w:val="Hyperlink"/>
          </w:rPr>
          <w:t xml:space="preserve">[6]</w:t>
        </w:r>
      </w:hyperlink>
      <w:r>
        <w:t xml:space="preserve"> </w:t>
      </w:r>
      <w:hyperlink r:id="rId25">
        <w:r>
          <w:rPr>
            <w:rStyle w:val="Hyperlink"/>
          </w:rPr>
          <w:t xml:space="preserve">[10]</w:t>
        </w:r>
      </w:hyperlink>
      <w:r>
        <w:t xml:space="preserve"> </w:t>
      </w:r>
      <w:hyperlink r:id="rId25">
        <w:r>
          <w:rPr>
            <w:rStyle w:val="Hyperlink"/>
          </w:rPr>
          <w:t xml:space="preserve">[11]</w:t>
        </w:r>
      </w:hyperlink>
      <w:r>
        <w:t xml:space="preserve"> </w:t>
      </w:r>
      <w:hyperlink r:id="rId25">
        <w:r>
          <w:rPr>
            <w:rStyle w:val="Hyperlink"/>
          </w:rPr>
          <w:t xml:space="preserve">[12]</w:t>
        </w:r>
      </w:hyperlink>
      <w:r>
        <w:t xml:space="preserve"> </w:t>
      </w:r>
      <w:hyperlink r:id="rId25">
        <w:r>
          <w:rPr>
            <w:rStyle w:val="Hyperlink"/>
          </w:rPr>
          <w:t xml:space="preserve">[19]</w:t>
        </w:r>
      </w:hyperlink>
      <w:r>
        <w:t xml:space="preserve"> </w:t>
      </w:r>
      <w:hyperlink r:id="rId25">
        <w:r>
          <w:rPr>
            <w:rStyle w:val="Hyperlink"/>
          </w:rPr>
          <w:t xml:space="preserve">[28]</w:t>
        </w:r>
      </w:hyperlink>
      <w:r>
        <w:t xml:space="preserve"> </w:t>
      </w:r>
      <w:r>
        <w:t xml:space="preserve">https://link.springer.com/article/10.1186/s40854-025-00866-w</w:t>
      </w:r>
    </w:p>
    <w:p>
      <w:pPr>
        <w:pStyle w:val="BodyText"/>
      </w:pPr>
      <w:hyperlink r:id="rId25">
        <w:r>
          <w:rPr>
            <w:rStyle w:val="Hyperlink"/>
          </w:rPr>
          <w:t xml:space="preserve">https://link.springer.com/article/10.1186/s40854-025-00866-w</w:t>
        </w:r>
      </w:hyperlink>
    </w:p>
    <w:p>
      <w:pPr>
        <w:pStyle w:val="BodyText"/>
      </w:pPr>
      <w:hyperlink r:id="rId26">
        <w:r>
          <w:rPr>
            <w:rStyle w:val="Hyperlink"/>
          </w:rPr>
          <w:t xml:space="preserve">[7]</w:t>
        </w:r>
      </w:hyperlink>
      <w:r>
        <w:t xml:space="preserve"> </w:t>
      </w:r>
      <w:r>
        <w:t xml:space="preserve">https://papers.ssrn.com/sol3/papers.cfm?abstract_id=4389774</w:t>
      </w:r>
    </w:p>
    <w:p>
      <w:pPr>
        <w:pStyle w:val="BodyText"/>
      </w:pPr>
      <w:hyperlink r:id="rId26">
        <w:r>
          <w:rPr>
            <w:rStyle w:val="Hyperlink"/>
          </w:rPr>
          <w:t xml:space="preserve">https://papers.ssrn.com/sol3/papers.cfm?abstract_id=4389774</w:t>
        </w:r>
      </w:hyperlink>
    </w:p>
    <w:p>
      <w:pPr>
        <w:pStyle w:val="BodyText"/>
      </w:pPr>
      <w:hyperlink r:id="rId28">
        <w:r>
          <w:rPr>
            <w:rStyle w:val="Hyperlink"/>
          </w:rPr>
          <w:t xml:space="preserve">[8]</w:t>
        </w:r>
      </w:hyperlink>
      <w:r>
        <w:t xml:space="preserve"> </w:t>
      </w:r>
      <w:hyperlink r:id="rId28">
        <w:r>
          <w:rPr>
            <w:rStyle w:val="Hyperlink"/>
          </w:rPr>
          <w:t xml:space="preserve">[25]</w:t>
        </w:r>
      </w:hyperlink>
      <w:r>
        <w:t xml:space="preserve"> </w:t>
      </w:r>
      <w:r>
        <w:t xml:space="preserve">https://www.sciencedirect.com/science/article/abs/pii/S1059056024003010</w:t>
      </w:r>
    </w:p>
    <w:p>
      <w:pPr>
        <w:pStyle w:val="BodyText"/>
      </w:pPr>
      <w:hyperlink r:id="rId28">
        <w:r>
          <w:rPr>
            <w:rStyle w:val="Hyperlink"/>
          </w:rPr>
          <w:t xml:space="preserve">https://www.sciencedirect.com/science/article/abs/pii/S1059056024003010</w:t>
        </w:r>
      </w:hyperlink>
    </w:p>
    <w:p>
      <w:pPr>
        <w:pStyle w:val="BodyText"/>
      </w:pPr>
      <w:hyperlink r:id="rId29">
        <w:r>
          <w:rPr>
            <w:rStyle w:val="Hyperlink"/>
          </w:rPr>
          <w:t xml:space="preserve">[9]</w:t>
        </w:r>
      </w:hyperlink>
      <w:r>
        <w:t xml:space="preserve"> </w:t>
      </w:r>
      <w:hyperlink r:id="rId29">
        <w:r>
          <w:rPr>
            <w:rStyle w:val="Hyperlink"/>
          </w:rPr>
          <w:t xml:space="preserve">[13]</w:t>
        </w:r>
      </w:hyperlink>
      <w:r>
        <w:t xml:space="preserve"> </w:t>
      </w:r>
      <w:hyperlink r:id="rId29">
        <w:r>
          <w:rPr>
            <w:rStyle w:val="Hyperlink"/>
          </w:rPr>
          <w:t xml:space="preserve">[24]</w:t>
        </w:r>
      </w:hyperlink>
      <w:r>
        <w:t xml:space="preserve"> </w:t>
      </w:r>
      <w:r>
        <w:t xml:space="preserve">https://www.sciencedirect.com/science/article/pii/S2666827025000477</w:t>
      </w:r>
    </w:p>
    <w:p>
      <w:pPr>
        <w:pStyle w:val="BodyText"/>
      </w:pPr>
      <w:hyperlink r:id="rId29">
        <w:r>
          <w:rPr>
            <w:rStyle w:val="Hyperlink"/>
          </w:rPr>
          <w:t xml:space="preserve">https://www.sciencedirect.com/science/article/pii/S2666827025000477</w:t>
        </w:r>
      </w:hyperlink>
    </w:p>
    <w:p>
      <w:pPr>
        <w:pStyle w:val="BodyText"/>
      </w:pPr>
      <w:hyperlink r:id="rId31">
        <w:r>
          <w:rPr>
            <w:rStyle w:val="Hyperlink"/>
          </w:rPr>
          <w:t xml:space="preserve">[14]</w:t>
        </w:r>
      </w:hyperlink>
      <w:r>
        <w:t xml:space="preserve"> </w:t>
      </w:r>
      <w:hyperlink r:id="rId31">
        <w:r>
          <w:rPr>
            <w:rStyle w:val="Hyperlink"/>
          </w:rPr>
          <w:t xml:space="preserve">[18]</w:t>
        </w:r>
      </w:hyperlink>
      <w:r>
        <w:t xml:space="preserve"> </w:t>
      </w:r>
      <w:r>
        <w:t xml:space="preserve">https://papers.ssrn.com/sol3/papers.cfm?abstract_id=2308659</w:t>
      </w:r>
    </w:p>
    <w:p>
      <w:pPr>
        <w:pStyle w:val="BodyText"/>
      </w:pPr>
      <w:hyperlink r:id="rId31">
        <w:r>
          <w:rPr>
            <w:rStyle w:val="Hyperlink"/>
          </w:rPr>
          <w:t xml:space="preserve">https://papers.ssrn.com/sol3/papers.cfm?abstract_id=2308659</w:t>
        </w:r>
      </w:hyperlink>
    </w:p>
    <w:p>
      <w:pPr>
        <w:pStyle w:val="BodyText"/>
      </w:pPr>
      <w:hyperlink r:id="rId32">
        <w:r>
          <w:rPr>
            <w:rStyle w:val="Hyperlink"/>
          </w:rPr>
          <w:t xml:space="preserve">[15]</w:t>
        </w:r>
      </w:hyperlink>
      <w:r>
        <w:t xml:space="preserve"> </w:t>
      </w:r>
      <w:r>
        <w:t xml:space="preserve">https://riverml.xyz/dev/api/drift/ADWIN/</w:t>
      </w:r>
    </w:p>
    <w:p>
      <w:pPr>
        <w:pStyle w:val="BodyText"/>
      </w:pPr>
      <w:hyperlink r:id="rId32">
        <w:r>
          <w:rPr>
            <w:rStyle w:val="Hyperlink"/>
          </w:rPr>
          <w:t xml:space="preserve">https://riverml.xyz/dev/api/drift/ADWIN/</w:t>
        </w:r>
      </w:hyperlink>
    </w:p>
    <w:p>
      <w:pPr>
        <w:pStyle w:val="BodyText"/>
      </w:pPr>
      <w:hyperlink r:id="rId33">
        <w:r>
          <w:rPr>
            <w:rStyle w:val="Hyperlink"/>
          </w:rPr>
          <w:t xml:space="preserve">[16]</w:t>
        </w:r>
      </w:hyperlink>
      <w:r>
        <w:t xml:space="preserve"> </w:t>
      </w:r>
      <w:r>
        <w:t xml:space="preserve">https://link.springer.com/article/10.1007/s10203-026-00570-z</w:t>
      </w:r>
    </w:p>
    <w:p>
      <w:pPr>
        <w:pStyle w:val="BodyText"/>
      </w:pPr>
      <w:hyperlink r:id="rId33">
        <w:r>
          <w:rPr>
            <w:rStyle w:val="Hyperlink"/>
          </w:rPr>
          <w:t xml:space="preserve">https://link.springer.com/article/10.1007/s10203-026-00570-z</w:t>
        </w:r>
      </w:hyperlink>
    </w:p>
    <w:p>
      <w:pPr>
        <w:pStyle w:val="BodyText"/>
      </w:pPr>
      <w:hyperlink r:id="rId35">
        <w:r>
          <w:rPr>
            <w:rStyle w:val="Hyperlink"/>
          </w:rPr>
          <w:t xml:space="preserve">[17]</w:t>
        </w:r>
      </w:hyperlink>
      <w:r>
        <w:t xml:space="preserve"> </w:t>
      </w:r>
      <w:hyperlink r:id="rId35">
        <w:r>
          <w:rPr>
            <w:rStyle w:val="Hyperlink"/>
          </w:rPr>
          <w:t xml:space="preserve">[22]</w:t>
        </w:r>
      </w:hyperlink>
      <w:r>
        <w:t xml:space="preserve"> </w:t>
      </w:r>
      <w:r>
        <w:t xml:space="preserve">https://docs.freqtrade.io/en/stable/backtesting/</w:t>
      </w:r>
    </w:p>
    <w:p>
      <w:pPr>
        <w:pStyle w:val="BodyText"/>
      </w:pPr>
      <w:hyperlink r:id="rId35">
        <w:r>
          <w:rPr>
            <w:rStyle w:val="Hyperlink"/>
          </w:rPr>
          <w:t xml:space="preserve">https://docs.freqtrade.io/en/stable/backtesting/</w:t>
        </w:r>
      </w:hyperlink>
    </w:p>
    <w:p>
      <w:pPr>
        <w:pStyle w:val="BodyText"/>
      </w:pPr>
      <w:hyperlink r:id="rId37">
        <w:r>
          <w:rPr>
            <w:rStyle w:val="Hyperlink"/>
          </w:rPr>
          <w:t xml:space="preserve">[20]</w:t>
        </w:r>
      </w:hyperlink>
      <w:r>
        <w:t xml:space="preserve"> </w:t>
      </w:r>
      <w:r>
        <w:t xml:space="preserve">https://www.sciencedirect.com/science/article/pii/S1544612319303770</w:t>
      </w:r>
    </w:p>
    <w:p>
      <w:pPr>
        <w:pStyle w:val="BodyText"/>
      </w:pPr>
      <w:hyperlink r:id="rId37">
        <w:r>
          <w:rPr>
            <w:rStyle w:val="Hyperlink"/>
          </w:rPr>
          <w:t xml:space="preserve">https://www.sciencedirect.com/science/article/pii/S1544612319303770</w:t>
        </w:r>
      </w:hyperlink>
    </w:p>
    <w:p>
      <w:pPr>
        <w:pStyle w:val="BodyText"/>
      </w:pPr>
      <w:hyperlink r:id="rId38">
        <w:r>
          <w:rPr>
            <w:rStyle w:val="Hyperlink"/>
          </w:rPr>
          <w:t xml:space="preserve">[21]</w:t>
        </w:r>
      </w:hyperlink>
      <w:r>
        <w:t xml:space="preserve"> </w:t>
      </w:r>
      <w:hyperlink r:id="rId38">
        <w:r>
          <w:rPr>
            <w:rStyle w:val="Hyperlink"/>
          </w:rPr>
          <w:t xml:space="preserve">[23]</w:t>
        </w:r>
      </w:hyperlink>
      <w:r>
        <w:t xml:space="preserve"> </w:t>
      </w:r>
      <w:r>
        <w:t xml:space="preserve">https://papers.ssrn.com/sol3/papers.cfm?abstract_id=2326253</w:t>
      </w:r>
    </w:p>
    <w:p>
      <w:pPr>
        <w:pStyle w:val="BodyText"/>
      </w:pPr>
      <w:hyperlink r:id="rId38">
        <w:r>
          <w:rPr>
            <w:rStyle w:val="Hyperlink"/>
          </w:rPr>
          <w:t xml:space="preserve">https://papers.ssrn.com/sol3/papers.cfm?abstract_id=2326253</w:t>
        </w:r>
      </w:hyperlink>
    </w:p>
    <w:p>
      <w:pPr>
        <w:pStyle w:val="BodyText"/>
      </w:pPr>
      <w:hyperlink r:id="rId41">
        <w:r>
          <w:rPr>
            <w:rStyle w:val="Hyperlink"/>
          </w:rPr>
          <w:t xml:space="preserve">[27]</w:t>
        </w:r>
      </w:hyperlink>
      <w:r>
        <w:t xml:space="preserve"> </w:t>
      </w:r>
      <w:r>
        <w:t xml:space="preserve">https://auto.gluon.ai/stable/tutorials/tabular/tabular-indepth.html</w:t>
      </w:r>
    </w:p>
    <w:p>
      <w:pPr>
        <w:pStyle w:val="BodyText"/>
      </w:pPr>
      <w:hyperlink r:id="rId41">
        <w:r>
          <w:rPr>
            <w:rStyle w:val="Hyperlink"/>
          </w:rPr>
          <w:t xml:space="preserve">https://auto.gluon.ai/stable/tutorials/tabular/tabular-indepth.html</w:t>
        </w:r>
      </w:hyperlink>
    </w:p>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1" Target="https://auto.gluon.ai/stable/tutorials/tabular/tabular-indepth.html" TargetMode="External" /><Relationship Type="http://schemas.openxmlformats.org/officeDocument/2006/relationships/hyperlink" Id="rId35" Target="https://docs.freqtrade.io/en/stable/backtesting/" TargetMode="External" /><Relationship Type="http://schemas.openxmlformats.org/officeDocument/2006/relationships/hyperlink" Id="rId24" Target="https://github.com/Arashmehrdad/Stream_Alpha/blob/7c2296e3dcd99dd4fcbf664fa6e30d7b3be4a0fd/PLANS.md" TargetMode="External" /><Relationship Type="http://schemas.openxmlformats.org/officeDocument/2006/relationships/hyperlink" Id="rId21" Target="https://github.com/Arashmehrdad/Stream_Alpha/blob/7c2296e3dcd99dd4fcbf664fa6e30d7b3be4a0fd/app/ensemble/research.py" TargetMode="External" /><Relationship Type="http://schemas.openxmlformats.org/officeDocument/2006/relationships/hyperlink" Id="rId23" Target="https://github.com/Arashmehrdad/Stream_Alpha/blob/7c2296e3dcd99dd4fcbf664fa6e30d7b3be4a0fd/app/training/service.py" TargetMode="External" /><Relationship Type="http://schemas.openxmlformats.org/officeDocument/2006/relationships/hyperlink" Id="rId22" Target="https://github.com/Arashmehrdad/Stream_Alpha/blob/7c2296e3dcd99dd4fcbf664fa6e30d7b3be4a0fd/configs/training.m20.json" TargetMode="External" /><Relationship Type="http://schemas.openxmlformats.org/officeDocument/2006/relationships/hyperlink" Id="rId33" Target="https://link.springer.com/article/10.1007/s10203-026-00570-z" TargetMode="External" /><Relationship Type="http://schemas.openxmlformats.org/officeDocument/2006/relationships/hyperlink" Id="rId25" Target="https://link.springer.com/article/10.1186/s40854-025-00866-w" TargetMode="External" /><Relationship Type="http://schemas.openxmlformats.org/officeDocument/2006/relationships/hyperlink" Id="rId31" Target="https://papers.ssrn.com/sol3/papers.cfm?abstract_id=2308659" TargetMode="External" /><Relationship Type="http://schemas.openxmlformats.org/officeDocument/2006/relationships/hyperlink" Id="rId38" Target="https://papers.ssrn.com/sol3/papers.cfm?abstract_id=2326253" TargetMode="External" /><Relationship Type="http://schemas.openxmlformats.org/officeDocument/2006/relationships/hyperlink" Id="rId26" Target="https://papers.ssrn.com/sol3/papers.cfm?abstract_id=4389774" TargetMode="External" /><Relationship Type="http://schemas.openxmlformats.org/officeDocument/2006/relationships/hyperlink" Id="rId32" Target="https://riverml.xyz/dev/api/drift/ADWIN/" TargetMode="External" /><Relationship Type="http://schemas.openxmlformats.org/officeDocument/2006/relationships/hyperlink" Id="rId28" Target="https://www.sciencedirect.com/science/article/abs/pii/S1059056024003010" TargetMode="External" /><Relationship Type="http://schemas.openxmlformats.org/officeDocument/2006/relationships/hyperlink" Id="rId37" Target="https://www.sciencedirect.com/science/article/pii/S1544612319303770" TargetMode="External" /><Relationship Type="http://schemas.openxmlformats.org/officeDocument/2006/relationships/hyperlink" Id="rId29" Target="https://www.sciencedirect.com/science/article/pii/S2666827025000477" TargetMode="External" /></Relationships>
</file>

<file path=word/_rels/footnotes.xml.rels><?xml version="1.0" encoding="UTF-8"?><Relationships xmlns="http://schemas.openxmlformats.org/package/2006/relationships"><Relationship Type="http://schemas.openxmlformats.org/officeDocument/2006/relationships/hyperlink" Id="rId41" Target="https://auto.gluon.ai/stable/tutorials/tabular/tabular-indepth.html" TargetMode="External" /><Relationship Type="http://schemas.openxmlformats.org/officeDocument/2006/relationships/hyperlink" Id="rId35" Target="https://docs.freqtrade.io/en/stable/backtesting/" TargetMode="External" /><Relationship Type="http://schemas.openxmlformats.org/officeDocument/2006/relationships/hyperlink" Id="rId24" Target="https://github.com/Arashmehrdad/Stream_Alpha/blob/7c2296e3dcd99dd4fcbf664fa6e30d7b3be4a0fd/PLANS.md" TargetMode="External" /><Relationship Type="http://schemas.openxmlformats.org/officeDocument/2006/relationships/hyperlink" Id="rId21" Target="https://github.com/Arashmehrdad/Stream_Alpha/blob/7c2296e3dcd99dd4fcbf664fa6e30d7b3be4a0fd/app/ensemble/research.py" TargetMode="External" /><Relationship Type="http://schemas.openxmlformats.org/officeDocument/2006/relationships/hyperlink" Id="rId23" Target="https://github.com/Arashmehrdad/Stream_Alpha/blob/7c2296e3dcd99dd4fcbf664fa6e30d7b3be4a0fd/app/training/service.py" TargetMode="External" /><Relationship Type="http://schemas.openxmlformats.org/officeDocument/2006/relationships/hyperlink" Id="rId22" Target="https://github.com/Arashmehrdad/Stream_Alpha/blob/7c2296e3dcd99dd4fcbf664fa6e30d7b3be4a0fd/configs/training.m20.json" TargetMode="External" /><Relationship Type="http://schemas.openxmlformats.org/officeDocument/2006/relationships/hyperlink" Id="rId33" Target="https://link.springer.com/article/10.1007/s10203-026-00570-z" TargetMode="External" /><Relationship Type="http://schemas.openxmlformats.org/officeDocument/2006/relationships/hyperlink" Id="rId25" Target="https://link.springer.com/article/10.1186/s40854-025-00866-w" TargetMode="External" /><Relationship Type="http://schemas.openxmlformats.org/officeDocument/2006/relationships/hyperlink" Id="rId31" Target="https://papers.ssrn.com/sol3/papers.cfm?abstract_id=2308659" TargetMode="External" /><Relationship Type="http://schemas.openxmlformats.org/officeDocument/2006/relationships/hyperlink" Id="rId38" Target="https://papers.ssrn.com/sol3/papers.cfm?abstract_id=2326253" TargetMode="External" /><Relationship Type="http://schemas.openxmlformats.org/officeDocument/2006/relationships/hyperlink" Id="rId26" Target="https://papers.ssrn.com/sol3/papers.cfm?abstract_id=4389774" TargetMode="External" /><Relationship Type="http://schemas.openxmlformats.org/officeDocument/2006/relationships/hyperlink" Id="rId32" Target="https://riverml.xyz/dev/api/drift/ADWIN/" TargetMode="External" /><Relationship Type="http://schemas.openxmlformats.org/officeDocument/2006/relationships/hyperlink" Id="rId28" Target="https://www.sciencedirect.com/science/article/abs/pii/S1059056024003010" TargetMode="External" /><Relationship Type="http://schemas.openxmlformats.org/officeDocument/2006/relationships/hyperlink" Id="rId37" Target="https://www.sciencedirect.com/science/article/pii/S1544612319303770" TargetMode="External" /><Relationship Type="http://schemas.openxmlformats.org/officeDocument/2006/relationships/hyperlink" Id="rId29" Target="https://www.sciencedirect.com/science/article/pii/S266682702500047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2026-04-27T22:33:42Z</dcterms:created>
  <dcterms:modified xsi:type="dcterms:W3CDTF">2026-04-27T22:33:42Z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