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9A185" w14:textId="77777777" w:rsidR="00BE3211" w:rsidRDefault="00BE3211" w:rsidP="00BE3211">
      <w:pPr>
        <w:spacing w:before="100" w:beforeAutospacing="1" w:after="100" w:afterAutospacing="1" w:line="240" w:lineRule="auto"/>
        <w:jc w:val="center"/>
        <w:rPr>
          <w:rFonts w:ascii="Times New Roman" w:eastAsia="ＭＳ Ｐゴシック" w:hAnsi="Times New Roman"/>
          <w:b/>
          <w:bCs/>
          <w:sz w:val="28"/>
          <w:szCs w:val="28"/>
        </w:rPr>
      </w:pPr>
      <w:r w:rsidRPr="005D40D8">
        <w:rPr>
          <w:rFonts w:ascii="Times New Roman" w:eastAsia="ＭＳ Ｐゴシック" w:hAnsi="Times New Roman"/>
          <w:b/>
          <w:bCs/>
          <w:sz w:val="28"/>
          <w:szCs w:val="28"/>
        </w:rPr>
        <w:t>Reusable Adaptive Formwork and Non-Fired Earthen Panels for Circular Fabrication of Double-Curved Façade Geometry</w:t>
      </w:r>
    </w:p>
    <w:p w14:paraId="59C925C5" w14:textId="7556AEA2" w:rsidR="00123C3A" w:rsidRPr="00B4013F" w:rsidRDefault="00B4013F" w:rsidP="00123C3A">
      <w:pPr>
        <w:pStyle w:val="author"/>
        <w:rPr>
          <w:rFonts w:eastAsiaTheme="minorEastAsia"/>
          <w:lang w:eastAsia="ja-JP"/>
        </w:rPr>
      </w:pPr>
      <w:r>
        <w:rPr>
          <w:rFonts w:eastAsiaTheme="minorEastAsia" w:hint="eastAsia"/>
          <w:lang w:eastAsia="ja-JP"/>
        </w:rPr>
        <w:t>Hiroki Awaji</w:t>
      </w:r>
      <w:r w:rsidR="0066493C">
        <w:rPr>
          <w:rStyle w:val="a6"/>
        </w:rPr>
        <w:footnoteReference w:id="1"/>
      </w:r>
      <w:r>
        <w:rPr>
          <w:rFonts w:eastAsiaTheme="minorEastAsia" w:hint="eastAsia"/>
          <w:lang w:eastAsia="ja-JP"/>
        </w:rPr>
        <w:t xml:space="preserve">, Zhao Chen, Arastoo </w:t>
      </w:r>
      <w:proofErr w:type="spellStart"/>
      <w:r>
        <w:rPr>
          <w:rFonts w:eastAsiaTheme="minorEastAsia" w:hint="eastAsia"/>
          <w:lang w:eastAsia="ja-JP"/>
        </w:rPr>
        <w:t>Khajehee</w:t>
      </w:r>
      <w:proofErr w:type="spellEnd"/>
      <w:r>
        <w:rPr>
          <w:rFonts w:eastAsiaTheme="minorEastAsia" w:hint="eastAsia"/>
          <w:lang w:eastAsia="ja-JP"/>
        </w:rPr>
        <w:t>, Yasushi Ikeda</w:t>
      </w:r>
    </w:p>
    <w:p w14:paraId="0CD802AF" w14:textId="573A6605" w:rsidR="00AF729F" w:rsidRPr="00AF729F" w:rsidRDefault="00123C3A" w:rsidP="00AF729F">
      <w:pPr>
        <w:pStyle w:val="abstract"/>
        <w:rPr>
          <w:rFonts w:eastAsiaTheme="minorEastAsia"/>
          <w:lang w:eastAsia="ja-JP"/>
        </w:rPr>
      </w:pPr>
      <w:r w:rsidRPr="00123C3A">
        <w:rPr>
          <w:b/>
        </w:rPr>
        <w:t>Abstract</w:t>
      </w:r>
      <w:r w:rsidR="00E0047E" w:rsidRPr="00E0047E">
        <w:rPr>
          <w:b/>
        </w:rPr>
        <w:t xml:space="preserve">. </w:t>
      </w:r>
      <w:r w:rsidR="00AF729F" w:rsidRPr="00AF729F">
        <w:t>The increasing use of digital design tools has expanded the demand for architectural components with complex geometries, particularly double-curved façade panels. Conventional GFRC panels require customized single-use formwork, leading to high fabrication costs, material waste, and limited recyclability.</w:t>
      </w:r>
      <w:r w:rsidR="00AF729F">
        <w:rPr>
          <w:rFonts w:eastAsiaTheme="minorEastAsia" w:hint="eastAsia"/>
          <w:lang w:eastAsia="ja-JP"/>
        </w:rPr>
        <w:t xml:space="preserve"> </w:t>
      </w:r>
      <w:r w:rsidR="00AF729F" w:rsidRPr="00AF729F">
        <w:t>This research proposes a flexible adaptive formwork system that can produce complex curved panels with high geometric accuracy while minimizing the number of actuators required. The system combines sensor-controlled linear actuators, elastically deformable aramid fiber rods, and a modular silicone-based surface layer to interpolate surface geometry between actuation points. A computational workflow translates target surfaces into actuator configurations.</w:t>
      </w:r>
      <w:r w:rsidR="00AF729F">
        <w:rPr>
          <w:rFonts w:eastAsiaTheme="minorEastAsia" w:hint="eastAsia"/>
          <w:lang w:eastAsia="ja-JP"/>
        </w:rPr>
        <w:t xml:space="preserve"> </w:t>
      </w:r>
      <w:r w:rsidR="00AF729F" w:rsidRPr="00AF729F">
        <w:t xml:space="preserve">Using this system, a full-scale prototype non-fired earthen panel composed of decomposed granite soil, magnesia-based binder, and glass fiber mesh reinforcement </w:t>
      </w:r>
      <w:proofErr w:type="gramStart"/>
      <w:r w:rsidR="00AF729F" w:rsidRPr="00AF729F">
        <w:t>was</w:t>
      </w:r>
      <w:proofErr w:type="gramEnd"/>
      <w:r w:rsidR="00AF729F" w:rsidRPr="00AF729F">
        <w:t xml:space="preserve"> fabricated. The geometric accuracy of the panel was evaluated through 3D scanning.</w:t>
      </w:r>
      <w:r w:rsidR="00AF729F">
        <w:rPr>
          <w:rFonts w:eastAsiaTheme="minorEastAsia" w:hint="eastAsia"/>
          <w:lang w:eastAsia="ja-JP"/>
        </w:rPr>
        <w:t xml:space="preserve"> </w:t>
      </w:r>
      <w:r w:rsidR="00AF729F" w:rsidRPr="00AF729F">
        <w:t>The results demonstrate a circular fabrication approach that integrates adaptive formwork, computational design, and low-impact earthen materials for producing double-curved façade panels.</w:t>
      </w:r>
    </w:p>
    <w:p w14:paraId="55EB9C8F" w14:textId="77777777" w:rsidR="00AF729F" w:rsidRPr="00AF729F" w:rsidRDefault="00AF729F" w:rsidP="00AF729F">
      <w:pPr>
        <w:pStyle w:val="abstract"/>
      </w:pPr>
      <w:r w:rsidRPr="00AF729F">
        <w:rPr>
          <w:b/>
          <w:bCs/>
        </w:rPr>
        <w:t>Keywords:</w:t>
      </w:r>
      <w:r w:rsidRPr="00AF729F">
        <w:t xml:space="preserve"> adaptive formwork, computational design, robotic fabrication, earthen materials, circular construction</w:t>
      </w:r>
    </w:p>
    <w:p w14:paraId="3F36D3A0" w14:textId="4EB5E915" w:rsidR="00123C3A" w:rsidRPr="00F52238" w:rsidRDefault="00123C3A" w:rsidP="00BE3211">
      <w:pPr>
        <w:pStyle w:val="heading1"/>
        <w:rPr>
          <w:rFonts w:eastAsiaTheme="minorEastAsia"/>
          <w:lang w:val="en-GB" w:eastAsia="ja-JP"/>
        </w:rPr>
      </w:pPr>
      <w:r>
        <w:rPr>
          <w:lang w:val="en-GB" w:eastAsia="en-GB"/>
        </w:rPr>
        <w:lastRenderedPageBreak/>
        <w:t xml:space="preserve">1 </w:t>
      </w:r>
      <w:r w:rsidR="00F52238">
        <w:rPr>
          <w:rFonts w:eastAsiaTheme="minorEastAsia" w:hint="eastAsia"/>
          <w:lang w:val="en-GB" w:eastAsia="ja-JP"/>
        </w:rPr>
        <w:t>Introduction</w:t>
      </w:r>
    </w:p>
    <w:p w14:paraId="498A6531" w14:textId="77777777" w:rsidR="00F52238" w:rsidRPr="00F52238" w:rsidRDefault="00F52238" w:rsidP="00F52238">
      <w:pPr>
        <w:pStyle w:val="heading2"/>
      </w:pPr>
      <w:r w:rsidRPr="00F52238">
        <w:rPr>
          <w:rFonts w:hint="eastAsia"/>
        </w:rPr>
        <w:t>1</w:t>
      </w:r>
      <w:r w:rsidRPr="00F52238">
        <w:t xml:space="preserve">.1 </w:t>
      </w:r>
      <w:r w:rsidRPr="00F52238">
        <w:rPr>
          <w:rFonts w:hint="eastAsia"/>
        </w:rPr>
        <w:t>Background</w:t>
      </w:r>
    </w:p>
    <w:p w14:paraId="51E2CE16" w14:textId="6E4D3330" w:rsidR="00E94AFC" w:rsidRPr="00E94AFC" w:rsidRDefault="00CD591B" w:rsidP="00CD591B">
      <w:pPr>
        <w:ind w:firstLine="0"/>
        <w:rPr>
          <w:lang w:eastAsia="ja-JP"/>
        </w:rPr>
      </w:pPr>
      <w:r>
        <w:rPr>
          <w:rFonts w:eastAsiaTheme="minorEastAsia" w:hint="eastAsia"/>
          <w:lang w:eastAsia="ja-JP"/>
        </w:rPr>
        <w:t>T</w:t>
      </w:r>
      <w:r w:rsidR="00E94AFC" w:rsidRPr="00E94AFC">
        <w:rPr>
          <w:lang w:eastAsia="ja-JP"/>
        </w:rPr>
        <w:t>he rapid development of digital design technologies, particularly 3D CAD and visual programming tools, has enabled architects to generate increasingly complex façade geometries, including double-curved and multi-faceted surfaces. Consequently, the demand for façade components with non-standard and highly individualized shapes has grown significantly.</w:t>
      </w:r>
    </w:p>
    <w:p w14:paraId="0508F099" w14:textId="10F91BA7" w:rsidR="00E94AFC" w:rsidRPr="00E94AFC" w:rsidRDefault="00E94AFC" w:rsidP="00E94AFC">
      <w:pPr>
        <w:rPr>
          <w:lang w:eastAsia="ja-JP"/>
        </w:rPr>
      </w:pPr>
      <w:r w:rsidRPr="00E94AFC">
        <w:rPr>
          <w:lang w:eastAsia="ja-JP"/>
        </w:rPr>
        <w:t xml:space="preserve">To construct such freeform building envelopes, façade panels with unique geometries must be produced on a panel-by-panel basis. This requirement differs from conventional manufacturing systems that rely on standardized </w:t>
      </w:r>
      <w:r w:rsidR="009B7424">
        <w:rPr>
          <w:rFonts w:eastAsiaTheme="minorEastAsia" w:hint="eastAsia"/>
          <w:lang w:eastAsia="ja-JP"/>
        </w:rPr>
        <w:t>formwork</w:t>
      </w:r>
      <w:r w:rsidRPr="00E94AFC">
        <w:rPr>
          <w:lang w:eastAsia="ja-JP"/>
        </w:rPr>
        <w:t xml:space="preserve">s and mass </w:t>
      </w:r>
      <w:proofErr w:type="gramStart"/>
      <w:r w:rsidRPr="00E94AFC">
        <w:rPr>
          <w:lang w:eastAsia="ja-JP"/>
        </w:rPr>
        <w:t>production, and</w:t>
      </w:r>
      <w:proofErr w:type="gramEnd"/>
      <w:r w:rsidRPr="00E94AFC">
        <w:rPr>
          <w:lang w:eastAsia="ja-JP"/>
        </w:rPr>
        <w:t xml:space="preserve"> instead necessitates a production framework capable of accommodating high-mix, low-volume fabrication.</w:t>
      </w:r>
    </w:p>
    <w:p w14:paraId="4302BF73" w14:textId="77777777" w:rsidR="00E94AFC" w:rsidRPr="00E94AFC" w:rsidRDefault="00E94AFC" w:rsidP="00E94AFC">
      <w:pPr>
        <w:rPr>
          <w:lang w:eastAsia="ja-JP"/>
        </w:rPr>
      </w:pPr>
      <w:r w:rsidRPr="00E94AFC">
        <w:rPr>
          <w:lang w:eastAsia="ja-JP"/>
        </w:rPr>
        <w:t xml:space="preserve">Glass Fiber Reinforced Concrete (GFRC) has emerged as a suitable material for these applications. In particular, the Direct Spray Method—where mortar and chopped glass fibers are sprayed onto customized molds—is widely used to manufacture high-strength GFRC panels. Compared with conventional precast concrete, GFRC eliminates the need for steel reinforcement, enabling the production of thinner, lighter, and more geometrically complex components. Architectural projects such as the Aomori Prefectural Sports Park Stadium (2018) and </w:t>
      </w:r>
      <w:proofErr w:type="spellStart"/>
      <w:r w:rsidRPr="00E94AFC">
        <w:rPr>
          <w:lang w:eastAsia="ja-JP"/>
        </w:rPr>
        <w:t>Azabudai</w:t>
      </w:r>
      <w:proofErr w:type="spellEnd"/>
      <w:r w:rsidRPr="00E94AFC">
        <w:rPr>
          <w:lang w:eastAsia="ja-JP"/>
        </w:rPr>
        <w:t xml:space="preserve"> Hills (2023) demonstrate the capability of GFRC to realize sophisticated façade geometries.</w:t>
      </w:r>
    </w:p>
    <w:p w14:paraId="11F09059" w14:textId="77777777" w:rsidR="00E94AFC" w:rsidRPr="00E94AFC" w:rsidRDefault="00E94AFC" w:rsidP="00E94AFC">
      <w:pPr>
        <w:rPr>
          <w:lang w:eastAsia="ja-JP"/>
        </w:rPr>
      </w:pPr>
      <w:r w:rsidRPr="00E94AFC">
        <w:rPr>
          <w:lang w:eastAsia="ja-JP"/>
        </w:rPr>
        <w:t xml:space="preserve">However, although digital technologies have significantly improved the efficiency of the design phase, the increasing geometric variation of façade panels has imposed greater demands on manufacturing processes. In many cases, individual panels require uniquely shaped molds. For example, in the beam panels of the </w:t>
      </w:r>
      <w:proofErr w:type="spellStart"/>
      <w:r w:rsidRPr="00E94AFC">
        <w:rPr>
          <w:lang w:eastAsia="ja-JP"/>
        </w:rPr>
        <w:t>Azabudai</w:t>
      </w:r>
      <w:proofErr w:type="spellEnd"/>
      <w:r w:rsidRPr="00E94AFC">
        <w:rPr>
          <w:lang w:eastAsia="ja-JP"/>
        </w:rPr>
        <w:t xml:space="preserve"> Hills project, each panel corresponded to a dedicated mold with a one-to-one relationship. As a result, the workload in fabrication facilities has increased considerably, accompanied by greater amounts of formwork waste and rising production costs.</w:t>
      </w:r>
    </w:p>
    <w:p w14:paraId="067B25AB" w14:textId="3F26EF04" w:rsidR="00F0507E" w:rsidRPr="00DD51B0" w:rsidRDefault="00E94AFC" w:rsidP="00DD51B0">
      <w:pPr>
        <w:rPr>
          <w:rFonts w:eastAsiaTheme="minorEastAsia"/>
          <w:lang w:eastAsia="ja-JP"/>
        </w:rPr>
      </w:pPr>
      <w:r w:rsidRPr="00E94AFC">
        <w:rPr>
          <w:lang w:eastAsia="ja-JP"/>
        </w:rPr>
        <w:t>Furthermore, the use of GFRC itself raises several challenges, including transportation-related environmental impacts, limited possibilities for disassembly and recycling, and the relatively high energy consumption associated with its production. From the perspectives of both formwork systems and material sustainability, there is a growing need for fabrication methods that can maintain geometric flexibility while simultaneously reducing environmental impact.</w:t>
      </w:r>
    </w:p>
    <w:p w14:paraId="79A1946A" w14:textId="53628AFE" w:rsidR="00F52238" w:rsidRPr="00F52238" w:rsidRDefault="00F52238" w:rsidP="00F03B45">
      <w:pPr>
        <w:pStyle w:val="heading2"/>
        <w:rPr>
          <w:lang w:eastAsia="ja-JP"/>
        </w:rPr>
      </w:pPr>
      <w:r w:rsidRPr="00F52238">
        <w:rPr>
          <w:rFonts w:hint="eastAsia"/>
        </w:rPr>
        <w:lastRenderedPageBreak/>
        <w:t>1</w:t>
      </w:r>
      <w:r w:rsidRPr="00F52238">
        <w:t>.</w:t>
      </w:r>
      <w:r>
        <w:rPr>
          <w:rFonts w:hint="eastAsia"/>
          <w:lang w:eastAsia="ja-JP"/>
        </w:rPr>
        <w:t>2</w:t>
      </w:r>
      <w:r w:rsidRPr="00F52238">
        <w:t xml:space="preserve"> </w:t>
      </w:r>
      <w:r>
        <w:rPr>
          <w:rFonts w:hint="eastAsia"/>
          <w:lang w:eastAsia="ja-JP"/>
        </w:rPr>
        <w:t>Research Purpose</w:t>
      </w:r>
    </w:p>
    <w:p w14:paraId="72062073" w14:textId="630F2936" w:rsidR="00F52238" w:rsidRPr="00615281" w:rsidRDefault="00DC6661" w:rsidP="00F52238">
      <w:pPr>
        <w:pStyle w:val="p1a"/>
        <w:rPr>
          <w:rFonts w:eastAsiaTheme="minorEastAsia"/>
          <w:lang w:eastAsia="ja-JP"/>
        </w:rPr>
      </w:pPr>
      <w:r w:rsidRPr="00DC6661">
        <w:rPr>
          <w:rFonts w:eastAsiaTheme="minorEastAsia"/>
          <w:lang w:eastAsia="ja-JP"/>
        </w:rPr>
        <w:t>This research aims to develop a flexible, automatically controlled formwork system capable of producing complex curved panels with high geometric accuracy while minimizing the number of actuators required. By combining this adaptive formwork with a non-fired earthen composite, the study proposes a circular panel fabrication method with reduced environmental impact.</w:t>
      </w:r>
      <w:r>
        <w:rPr>
          <w:rFonts w:eastAsiaTheme="minorEastAsia" w:hint="eastAsia"/>
          <w:lang w:eastAsia="ja-JP"/>
        </w:rPr>
        <w:t xml:space="preserve"> </w:t>
      </w:r>
    </w:p>
    <w:p w14:paraId="7BE50C6C" w14:textId="0EE89EFA" w:rsidR="00F52238" w:rsidRPr="00F52238" w:rsidRDefault="00F52238" w:rsidP="00F52238">
      <w:pPr>
        <w:pStyle w:val="heading2"/>
        <w:rPr>
          <w:rFonts w:eastAsia="游明朝"/>
          <w:lang w:eastAsia="ja-JP"/>
        </w:rPr>
      </w:pPr>
      <w:r w:rsidRPr="00F52238">
        <w:rPr>
          <w:rFonts w:hint="eastAsia"/>
        </w:rPr>
        <w:t>1</w:t>
      </w:r>
      <w:r w:rsidRPr="00F52238">
        <w:t>.</w:t>
      </w:r>
      <w:r>
        <w:rPr>
          <w:rFonts w:eastAsia="游明朝" w:hint="eastAsia"/>
          <w:lang w:eastAsia="ja-JP"/>
        </w:rPr>
        <w:t>3</w:t>
      </w:r>
      <w:r w:rsidRPr="00F52238">
        <w:t xml:space="preserve"> </w:t>
      </w:r>
      <w:r w:rsidRPr="00F52238">
        <w:rPr>
          <w:rFonts w:eastAsia="游明朝" w:hint="eastAsia"/>
          <w:lang w:eastAsia="ja-JP"/>
        </w:rPr>
        <w:t xml:space="preserve">Research </w:t>
      </w:r>
      <w:r>
        <w:rPr>
          <w:rFonts w:eastAsia="游明朝" w:hint="eastAsia"/>
          <w:lang w:eastAsia="ja-JP"/>
        </w:rPr>
        <w:t>Method</w:t>
      </w:r>
    </w:p>
    <w:p w14:paraId="3971205E" w14:textId="6858FB96" w:rsidR="00902CD9" w:rsidRPr="00902CD9" w:rsidRDefault="00902CD9" w:rsidP="00902CD9">
      <w:pPr>
        <w:rPr>
          <w:lang w:eastAsia="ja-JP"/>
        </w:rPr>
      </w:pPr>
      <w:r w:rsidRPr="00902CD9">
        <w:rPr>
          <w:lang w:eastAsia="ja-JP"/>
        </w:rPr>
        <w:t>This study proposes an integrated approach addressing both the formwork system and the material system.</w:t>
      </w:r>
    </w:p>
    <w:p w14:paraId="70B6FC4A" w14:textId="05E1A81E" w:rsidR="00902CD9" w:rsidRPr="00902CD9" w:rsidRDefault="00902CD9" w:rsidP="00902CD9">
      <w:pPr>
        <w:rPr>
          <w:lang w:eastAsia="ja-JP"/>
        </w:rPr>
      </w:pPr>
      <w:r w:rsidRPr="00902CD9">
        <w:rPr>
          <w:lang w:eastAsia="ja-JP"/>
        </w:rPr>
        <w:t>As a formwork proposal, an automatically controlled shoring system is developed, consisting of linear actuators arranged at 450 mm intervals. The system is designed to fabricate panels with a maximum size of W1800 × D3150 mm. By inserting elastically deformable rods into this shoring structure, a deformable framework corresponding to joists and girders can be constructed, allowing the structure to adapt to the target curved surface. A silicone rubber sheet is placed on top of these horizontal members to form the form-facing surface. The deformation behavior of both the joist–girder structure and the formwork surface is simulated in real time through parametric structural analysis.</w:t>
      </w:r>
    </w:p>
    <w:p w14:paraId="1E5A7E20" w14:textId="462E53B4" w:rsidR="00902CD9" w:rsidRPr="00902CD9" w:rsidRDefault="00902CD9" w:rsidP="00902CD9">
      <w:pPr>
        <w:rPr>
          <w:lang w:eastAsia="ja-JP"/>
        </w:rPr>
      </w:pPr>
      <w:r w:rsidRPr="00902CD9">
        <w:rPr>
          <w:lang w:eastAsia="ja-JP"/>
        </w:rPr>
        <w:t>In addition to the formwork system, a material system is proposed. The study introduces a non-fired earthen panel system composed of soil stabilized with magnesia cement and reinforced with glass fiber mesh. The use of locally sourced soil materials reduces transportation-related costs and environmental impact, while the use of seawater-derived magnesia cement lowers the energy required for raw material production. Furthermore, by employing fiber mesh rather than conventional short fibers, the separability between the matrix and the reinforcing material is improved, enhancing the material’s recyclability.</w:t>
      </w:r>
    </w:p>
    <w:p w14:paraId="327AC409" w14:textId="6B2524F3" w:rsidR="00902CD9" w:rsidRPr="00902CD9" w:rsidRDefault="00902CD9" w:rsidP="00902CD9">
      <w:pPr>
        <w:rPr>
          <w:rFonts w:eastAsiaTheme="minorEastAsia"/>
          <w:lang w:eastAsia="ja-JP"/>
        </w:rPr>
      </w:pPr>
      <w:r w:rsidRPr="00902CD9">
        <w:rPr>
          <w:lang w:eastAsia="ja-JP"/>
        </w:rPr>
        <w:t>Finally, using the proposed formwork and material systems, a full-scale prototype of a double-curved large-format panel measuring 1800 mm × 3000 mm is fabricated. The geometry of the fabricated panel is captured through 3D scanning and compared with the target digital model to evaluate fabrication accuracy.</w:t>
      </w:r>
    </w:p>
    <w:p w14:paraId="05BFD4D5" w14:textId="210A9291" w:rsidR="00F52238" w:rsidRPr="00F52238" w:rsidRDefault="00F52238" w:rsidP="00902CD9">
      <w:pPr>
        <w:pStyle w:val="heading2"/>
        <w:rPr>
          <w:lang w:eastAsia="ja-JP"/>
        </w:rPr>
      </w:pPr>
      <w:r w:rsidRPr="00F52238">
        <w:rPr>
          <w:rFonts w:hint="eastAsia"/>
        </w:rPr>
        <w:t>1</w:t>
      </w:r>
      <w:r w:rsidRPr="00F52238">
        <w:t>.</w:t>
      </w:r>
      <w:r>
        <w:rPr>
          <w:rFonts w:hint="eastAsia"/>
          <w:lang w:eastAsia="ja-JP"/>
        </w:rPr>
        <w:t>4</w:t>
      </w:r>
      <w:r w:rsidRPr="00F52238">
        <w:t xml:space="preserve"> </w:t>
      </w:r>
      <w:r w:rsidRPr="00F52238">
        <w:rPr>
          <w:rFonts w:hint="eastAsia"/>
          <w:lang w:eastAsia="ja-JP"/>
        </w:rPr>
        <w:t>Re</w:t>
      </w:r>
      <w:r>
        <w:rPr>
          <w:rFonts w:hint="eastAsia"/>
          <w:lang w:eastAsia="ja-JP"/>
        </w:rPr>
        <w:t>lated Works</w:t>
      </w:r>
    </w:p>
    <w:p w14:paraId="5B51A416" w14:textId="4731E3F5" w:rsidR="00F52238" w:rsidRPr="00615281" w:rsidRDefault="00615281" w:rsidP="00F52238">
      <w:pPr>
        <w:pStyle w:val="p1a"/>
        <w:rPr>
          <w:rFonts w:eastAsiaTheme="minorEastAsia"/>
          <w:lang w:eastAsia="ja-JP"/>
        </w:rPr>
      </w:pPr>
      <w:r>
        <w:rPr>
          <w:rFonts w:eastAsiaTheme="minorEastAsia" w:hint="eastAsia"/>
          <w:lang w:eastAsia="ja-JP"/>
        </w:rPr>
        <w:t>Chen</w:t>
      </w:r>
    </w:p>
    <w:p w14:paraId="3E9F9284" w14:textId="7C2828EE" w:rsidR="003F4113" w:rsidRPr="003F4113" w:rsidRDefault="00F52238" w:rsidP="003F4113">
      <w:pPr>
        <w:pStyle w:val="heading1"/>
        <w:rPr>
          <w:rFonts w:eastAsia="游明朝"/>
          <w:lang w:val="en-GB" w:eastAsia="ja-JP"/>
        </w:rPr>
      </w:pPr>
      <w:r>
        <w:rPr>
          <w:rFonts w:eastAsiaTheme="minorEastAsia" w:hint="eastAsia"/>
          <w:lang w:val="en-GB" w:eastAsia="ja-JP"/>
        </w:rPr>
        <w:lastRenderedPageBreak/>
        <w:t>2</w:t>
      </w:r>
      <w:r>
        <w:rPr>
          <w:lang w:val="en-GB" w:eastAsia="en-GB"/>
        </w:rPr>
        <w:t xml:space="preserve"> </w:t>
      </w:r>
      <w:r>
        <w:rPr>
          <w:rFonts w:eastAsia="游明朝" w:hint="eastAsia"/>
          <w:lang w:val="en-GB" w:eastAsia="ja-JP"/>
        </w:rPr>
        <w:t>Design of Adaptive Formwork</w:t>
      </w:r>
    </w:p>
    <w:p w14:paraId="3A358555" w14:textId="44A9AE31" w:rsidR="00F52238" w:rsidRPr="00F52238" w:rsidRDefault="00F52238" w:rsidP="00F52238">
      <w:pPr>
        <w:pStyle w:val="heading2"/>
        <w:rPr>
          <w:rFonts w:eastAsiaTheme="minorEastAsia"/>
          <w:lang w:eastAsia="ja-JP"/>
        </w:rPr>
      </w:pPr>
      <w:r>
        <w:rPr>
          <w:rFonts w:eastAsiaTheme="minorEastAsia" w:hint="eastAsia"/>
          <w:lang w:eastAsia="ja-JP"/>
        </w:rPr>
        <w:t>2</w:t>
      </w:r>
      <w:r w:rsidRPr="00F52238">
        <w:t xml:space="preserve">.1 </w:t>
      </w:r>
      <w:r w:rsidR="00E968C6" w:rsidRPr="00E968C6">
        <w:rPr>
          <w:rFonts w:eastAsiaTheme="minorEastAsia"/>
          <w:lang w:eastAsia="ja-JP"/>
        </w:rPr>
        <w:t>Adaptive Formwork System Configuration</w:t>
      </w:r>
    </w:p>
    <w:p w14:paraId="3186D42C" w14:textId="52331FE9" w:rsidR="00F52238" w:rsidRPr="00615281" w:rsidRDefault="003F4113" w:rsidP="00F52238">
      <w:pPr>
        <w:pStyle w:val="p1a"/>
        <w:rPr>
          <w:rFonts w:eastAsiaTheme="minorEastAsia"/>
          <w:lang w:eastAsia="ja-JP"/>
        </w:rPr>
      </w:pPr>
      <w:r>
        <w:rPr>
          <w:rFonts w:eastAsiaTheme="minorEastAsia" w:hint="eastAsia"/>
          <w:lang w:eastAsia="ja-JP"/>
        </w:rPr>
        <w:t>Chen</w:t>
      </w:r>
    </w:p>
    <w:p w14:paraId="52CB053C" w14:textId="72157D50" w:rsidR="00E968C6" w:rsidRPr="00E968C6" w:rsidRDefault="00E968C6" w:rsidP="00E968C6">
      <w:pPr>
        <w:pStyle w:val="heading2"/>
        <w:rPr>
          <w:rFonts w:eastAsia="游明朝"/>
          <w:lang w:eastAsia="ja-JP"/>
        </w:rPr>
      </w:pPr>
      <w:r w:rsidRPr="00E968C6">
        <w:rPr>
          <w:rFonts w:eastAsia="游明朝" w:hint="eastAsia"/>
          <w:lang w:eastAsia="ja-JP"/>
        </w:rPr>
        <w:t>2</w:t>
      </w:r>
      <w:r w:rsidRPr="00F52238">
        <w:t>.</w:t>
      </w:r>
      <w:r>
        <w:rPr>
          <w:rFonts w:eastAsiaTheme="minorEastAsia" w:hint="eastAsia"/>
          <w:lang w:eastAsia="ja-JP"/>
        </w:rPr>
        <w:t>2</w:t>
      </w:r>
      <w:r w:rsidRPr="00F52238">
        <w:t xml:space="preserve"> </w:t>
      </w:r>
      <w:r w:rsidRPr="00E968C6">
        <w:rPr>
          <w:rFonts w:eastAsia="游明朝"/>
          <w:lang w:eastAsia="ja-JP"/>
        </w:rPr>
        <w:t>Linear Actuator Control System</w:t>
      </w:r>
    </w:p>
    <w:p w14:paraId="5060D803" w14:textId="1BCFAFC8" w:rsidR="00E968C6" w:rsidRPr="00615281" w:rsidRDefault="00615281" w:rsidP="00E968C6">
      <w:pPr>
        <w:pStyle w:val="p1a"/>
        <w:rPr>
          <w:rFonts w:eastAsiaTheme="minorEastAsia"/>
          <w:lang w:eastAsia="ja-JP"/>
        </w:rPr>
      </w:pPr>
      <w:r>
        <w:rPr>
          <w:rFonts w:eastAsiaTheme="minorEastAsia" w:hint="eastAsia"/>
          <w:lang w:eastAsia="ja-JP"/>
        </w:rPr>
        <w:t>Arastoo</w:t>
      </w:r>
    </w:p>
    <w:p w14:paraId="2BED89C5" w14:textId="77777777" w:rsidR="00E968C6" w:rsidRPr="00E968C6" w:rsidRDefault="00E968C6" w:rsidP="00E968C6">
      <w:pPr>
        <w:rPr>
          <w:rFonts w:eastAsiaTheme="minorEastAsia"/>
          <w:lang w:eastAsia="ja-JP"/>
        </w:rPr>
      </w:pPr>
    </w:p>
    <w:p w14:paraId="09F1817C" w14:textId="27FB2B80" w:rsidR="00E968C6" w:rsidRPr="00E968C6" w:rsidRDefault="00E968C6" w:rsidP="00E968C6">
      <w:pPr>
        <w:pStyle w:val="heading2"/>
        <w:rPr>
          <w:rFonts w:eastAsia="游明朝"/>
          <w:lang w:eastAsia="ja-JP"/>
        </w:rPr>
      </w:pPr>
      <w:r w:rsidRPr="00E968C6">
        <w:rPr>
          <w:rFonts w:eastAsia="游明朝" w:hint="eastAsia"/>
          <w:lang w:eastAsia="ja-JP"/>
        </w:rPr>
        <w:t>2</w:t>
      </w:r>
      <w:r w:rsidRPr="00F52238">
        <w:t>.</w:t>
      </w:r>
      <w:r>
        <w:rPr>
          <w:rFonts w:eastAsiaTheme="minorEastAsia" w:hint="eastAsia"/>
          <w:lang w:eastAsia="ja-JP"/>
        </w:rPr>
        <w:t>3</w:t>
      </w:r>
      <w:r w:rsidRPr="00F52238">
        <w:t xml:space="preserve"> </w:t>
      </w:r>
      <w:r w:rsidRPr="00E968C6">
        <w:rPr>
          <w:rFonts w:eastAsia="游明朝"/>
          <w:lang w:eastAsia="ja-JP"/>
        </w:rPr>
        <w:t>Formwork Deformation Analysis Workflow</w:t>
      </w:r>
    </w:p>
    <w:p w14:paraId="1E80674A" w14:textId="3A06B862" w:rsidR="00936003" w:rsidRPr="00936003" w:rsidRDefault="00936003" w:rsidP="00936003">
      <w:pPr>
        <w:pStyle w:val="p1a"/>
        <w:rPr>
          <w:rFonts w:eastAsia="游明朝"/>
          <w:lang w:eastAsia="ja-JP"/>
        </w:rPr>
      </w:pPr>
      <w:r w:rsidRPr="00936003">
        <w:rPr>
          <w:rFonts w:eastAsia="游明朝"/>
          <w:lang w:eastAsia="ja-JP"/>
        </w:rPr>
        <w:t>The formwork system proposed in this study requires real-time calculation of stress and deformation because the stress and deformation of the formwork surface panels and rods vary depending on the target surface geometry.</w:t>
      </w:r>
    </w:p>
    <w:p w14:paraId="3F07494A" w14:textId="77777777" w:rsidR="00936003" w:rsidRPr="00936003" w:rsidRDefault="00936003" w:rsidP="00936003">
      <w:pPr>
        <w:pStyle w:val="p1a"/>
        <w:rPr>
          <w:rFonts w:eastAsia="游明朝"/>
          <w:lang w:eastAsia="ja-JP"/>
        </w:rPr>
      </w:pPr>
      <w:r w:rsidRPr="00936003">
        <w:rPr>
          <w:rFonts w:eastAsia="游明朝"/>
          <w:lang w:eastAsia="ja-JP"/>
        </w:rPr>
        <w:t>To address this, a structural analysis program was developed using Karamba, a plug-in for Rhino + Grasshopper. First, the rods are forcibly deformed according to the heights of the linear actuators determined in Section 2.2. To calculate the loads acting on the rods, the weight of GFRC is applied to the formwork surface panel deformed to match the target surface, and the reaction forces acting on the rods are obtained through shell analysis. These reaction forces are then applied as loads to the forcibly deformed rods, and the final deformation shape of the rods and the reaction forces acting on the linear actuators are calculated. Finally, the deviation between the rod geometry and the target shape, as well as whether the reaction forces of the linear actuators remain within the allowable limits, are evaluated.</w:t>
      </w:r>
    </w:p>
    <w:p w14:paraId="2B67D4CE" w14:textId="159379B2" w:rsidR="003F4113" w:rsidRPr="003F4113" w:rsidRDefault="003F4113" w:rsidP="003F4113">
      <w:pPr>
        <w:pStyle w:val="p1a"/>
        <w:rPr>
          <w:rFonts w:eastAsia="游明朝"/>
          <w:lang w:eastAsia="ja-JP"/>
        </w:rPr>
      </w:pPr>
    </w:p>
    <w:p w14:paraId="3EAD94E0" w14:textId="2A461DDD" w:rsidR="00E968C6" w:rsidRPr="00F52238" w:rsidRDefault="00E968C6" w:rsidP="00E968C6">
      <w:pPr>
        <w:pStyle w:val="heading1"/>
        <w:rPr>
          <w:rFonts w:eastAsia="游明朝"/>
          <w:lang w:val="en-GB" w:eastAsia="ja-JP"/>
        </w:rPr>
      </w:pPr>
      <w:r>
        <w:rPr>
          <w:rFonts w:eastAsia="游明朝" w:hint="eastAsia"/>
          <w:lang w:val="en-GB" w:eastAsia="ja-JP"/>
        </w:rPr>
        <w:lastRenderedPageBreak/>
        <w:t>3</w:t>
      </w:r>
      <w:r>
        <w:rPr>
          <w:lang w:val="en-GB" w:eastAsia="en-GB"/>
        </w:rPr>
        <w:t xml:space="preserve"> </w:t>
      </w:r>
      <w:r>
        <w:rPr>
          <w:rFonts w:eastAsia="游明朝" w:hint="eastAsia"/>
          <w:lang w:val="en-GB" w:eastAsia="ja-JP"/>
        </w:rPr>
        <w:t>Material System</w:t>
      </w:r>
    </w:p>
    <w:p w14:paraId="24B7E14E" w14:textId="7EC13825" w:rsidR="00E968C6" w:rsidRPr="00123C3A" w:rsidRDefault="00E968C6" w:rsidP="00E968C6">
      <w:pPr>
        <w:pStyle w:val="heading2"/>
      </w:pPr>
      <w:r>
        <w:rPr>
          <w:rFonts w:eastAsia="游明朝" w:hint="eastAsia"/>
          <w:lang w:eastAsia="ja-JP"/>
        </w:rPr>
        <w:t>3</w:t>
      </w:r>
      <w:r w:rsidRPr="00F52238">
        <w:t xml:space="preserve">.1 </w:t>
      </w:r>
      <w:r w:rsidRPr="00E968C6">
        <w:rPr>
          <w:rFonts w:eastAsia="游明朝"/>
          <w:lang w:eastAsia="ja-JP"/>
        </w:rPr>
        <w:t>Material Strategy</w:t>
      </w:r>
    </w:p>
    <w:p w14:paraId="727CB4B9" w14:textId="77777777" w:rsidR="0033521B" w:rsidRDefault="0033521B" w:rsidP="003F4113">
      <w:pPr>
        <w:pStyle w:val="p1a"/>
        <w:rPr>
          <w:rFonts w:eastAsia="游明朝"/>
          <w:lang w:eastAsia="ja-JP"/>
        </w:rPr>
      </w:pPr>
      <w:r w:rsidRPr="0033521B">
        <w:rPr>
          <w:rFonts w:eastAsia="游明朝"/>
          <w:lang w:eastAsia="ja-JP"/>
        </w:rPr>
        <w:t>In conventional GFRC panels, sand and ordinary Portland cement are primarily reinforced with short glass fibers; however, this results in a composite material that cannot be separated after fabrication. In this study, to reduce the environmental impact of the material, soil is used instead of sand, and magnesia cement (magnesium oxide + magnesium chloride) is used instead of ordinary Portland cement.</w:t>
      </w:r>
    </w:p>
    <w:p w14:paraId="495B9CAE" w14:textId="04A2BEC1" w:rsidR="003F4113" w:rsidRPr="003F4113" w:rsidRDefault="0033521B" w:rsidP="0033521B">
      <w:pPr>
        <w:rPr>
          <w:lang w:eastAsia="ja-JP"/>
        </w:rPr>
      </w:pPr>
      <w:r w:rsidRPr="0033521B">
        <w:rPr>
          <w:lang w:eastAsia="ja-JP"/>
        </w:rPr>
        <w:t>By using soil, locally available materials can be utilized, enabling local production and consumption of materials and thereby reducing CO₂ emissions associated with transportation. In addition, the use of magnesia cement reduces the energy consumption required for raw material production. Furthermore, by replacing short glass fibers with a glass fiber mesh, the base material and the reinforcement fibers can potentially be separated.</w:t>
      </w:r>
    </w:p>
    <w:p w14:paraId="08C8DF9F" w14:textId="3E8B2636" w:rsidR="00E968C6" w:rsidRPr="00E968C6" w:rsidRDefault="00A1241D" w:rsidP="00E968C6">
      <w:pPr>
        <w:pStyle w:val="heading2"/>
        <w:rPr>
          <w:rFonts w:eastAsia="游明朝"/>
          <w:lang w:eastAsia="ja-JP"/>
        </w:rPr>
      </w:pPr>
      <w:r>
        <w:rPr>
          <w:rFonts w:eastAsia="游明朝" w:hint="eastAsia"/>
          <w:lang w:eastAsia="ja-JP"/>
        </w:rPr>
        <w:t>3</w:t>
      </w:r>
      <w:r w:rsidR="00E968C6" w:rsidRPr="00F52238">
        <w:t>.</w:t>
      </w:r>
      <w:r w:rsidR="00E968C6" w:rsidRPr="00E968C6">
        <w:rPr>
          <w:rFonts w:eastAsia="游明朝" w:hint="eastAsia"/>
          <w:lang w:eastAsia="ja-JP"/>
        </w:rPr>
        <w:t>2</w:t>
      </w:r>
      <w:r w:rsidR="00E968C6" w:rsidRPr="00F52238">
        <w:t xml:space="preserve"> </w:t>
      </w:r>
      <w:r w:rsidR="00E968C6" w:rsidRPr="00E968C6">
        <w:rPr>
          <w:rFonts w:eastAsia="游明朝"/>
          <w:lang w:eastAsia="ja-JP"/>
        </w:rPr>
        <w:t>Material Preparation</w:t>
      </w:r>
    </w:p>
    <w:p w14:paraId="5A96A1BE" w14:textId="77777777" w:rsidR="003F4113" w:rsidRPr="003F4113" w:rsidRDefault="003F4113" w:rsidP="003F4113">
      <w:pPr>
        <w:pStyle w:val="p1a"/>
        <w:rPr>
          <w:rFonts w:eastAsia="游明朝"/>
          <w:lang w:eastAsia="ja-JP"/>
        </w:rPr>
      </w:pPr>
      <w:r w:rsidRPr="003F4113">
        <w:rPr>
          <w:rFonts w:eastAsia="游明朝" w:hint="eastAsia"/>
          <w:lang w:eastAsia="ja-JP"/>
        </w:rPr>
        <w:t>Awaji</w:t>
      </w:r>
    </w:p>
    <w:p w14:paraId="28DBEF25" w14:textId="3F2D6D66" w:rsidR="00E968C6" w:rsidRDefault="00A1241D" w:rsidP="00E968C6">
      <w:pPr>
        <w:pStyle w:val="heading2"/>
        <w:rPr>
          <w:rFonts w:eastAsia="游明朝"/>
          <w:lang w:eastAsia="ja-JP"/>
        </w:rPr>
      </w:pPr>
      <w:r>
        <w:rPr>
          <w:rFonts w:eastAsia="游明朝" w:hint="eastAsia"/>
          <w:lang w:eastAsia="ja-JP"/>
        </w:rPr>
        <w:t>3</w:t>
      </w:r>
      <w:r w:rsidR="00E968C6" w:rsidRPr="00F52238">
        <w:t>.</w:t>
      </w:r>
      <w:r w:rsidR="00E968C6" w:rsidRPr="00E968C6">
        <w:rPr>
          <w:rFonts w:eastAsia="游明朝" w:hint="eastAsia"/>
          <w:lang w:eastAsia="ja-JP"/>
        </w:rPr>
        <w:t>3</w:t>
      </w:r>
      <w:r w:rsidR="00E968C6" w:rsidRPr="00F52238">
        <w:t xml:space="preserve"> </w:t>
      </w:r>
      <w:r w:rsidR="00E968C6" w:rsidRPr="00E968C6">
        <w:rPr>
          <w:rFonts w:eastAsia="游明朝"/>
          <w:lang w:eastAsia="ja-JP"/>
        </w:rPr>
        <w:t>Mechanical Performance</w:t>
      </w:r>
    </w:p>
    <w:p w14:paraId="23FB05CF" w14:textId="77777777" w:rsidR="008673AC" w:rsidRDefault="008673AC" w:rsidP="008673AC">
      <w:pPr>
        <w:pStyle w:val="p1a"/>
        <w:rPr>
          <w:rFonts w:eastAsiaTheme="minorEastAsia"/>
          <w:lang w:eastAsia="ja-JP"/>
        </w:rPr>
      </w:pPr>
      <w:r w:rsidRPr="008673AC">
        <w:rPr>
          <w:rFonts w:eastAsiaTheme="minorEastAsia"/>
          <w:lang w:eastAsia="ja-JP"/>
        </w:rPr>
        <w:t>To clarify the bending strength and stiffness of the soil–magnesia cement material reinforced with a glass fiber mesh, bending tests were conducted using specimens A–G shown in Table 1. From these tests, the flexural Young’s modulus [N/mm²] and flexural strength [N/mm²] were calculated. Specimen A used conventional GFRC mortar, while specimens B–G used soil and magnesia cement. Based on the mixture ratio of specimen B (</w:t>
      </w:r>
      <w:proofErr w:type="spellStart"/>
      <w:proofErr w:type="gramStart"/>
      <w:r>
        <w:rPr>
          <w:rFonts w:eastAsiaTheme="minorEastAsia" w:hint="eastAsia"/>
          <w:lang w:eastAsia="ja-JP"/>
        </w:rPr>
        <w:t>Earth</w:t>
      </w:r>
      <w:r w:rsidRPr="008673AC">
        <w:rPr>
          <w:rFonts w:eastAsiaTheme="minorEastAsia"/>
          <w:lang w:eastAsia="ja-JP"/>
        </w:rPr>
        <w:t>:MgO</w:t>
      </w:r>
      <w:proofErr w:type="gramEnd"/>
      <w:r w:rsidRPr="008673AC">
        <w:rPr>
          <w:rFonts w:eastAsiaTheme="minorEastAsia"/>
          <w:lang w:eastAsia="ja-JP"/>
        </w:rPr>
        <w:t>:MgCl</w:t>
      </w:r>
      <w:proofErr w:type="spellEnd"/>
      <w:r w:rsidRPr="008673AC">
        <w:rPr>
          <w:rFonts w:eastAsiaTheme="minorEastAsia"/>
          <w:lang w:eastAsia="ja-JP"/>
        </w:rPr>
        <w:t>₂ = 1:0.5:0.5) and the fiber amount (two layers of glass fiber mesh), specimens C–E varied the ratio of soil to magnesia cement, while specimens F and G varied the number of glass fiber mesh layers.</w:t>
      </w:r>
    </w:p>
    <w:p w14:paraId="657D85FB" w14:textId="77777777" w:rsidR="008673AC" w:rsidRDefault="008673AC" w:rsidP="008673AC">
      <w:pPr>
        <w:rPr>
          <w:rFonts w:eastAsiaTheme="minorEastAsia"/>
          <w:lang w:eastAsia="ja-JP"/>
        </w:rPr>
      </w:pPr>
      <w:r w:rsidRPr="008673AC">
        <w:rPr>
          <w:lang w:eastAsia="ja-JP"/>
        </w:rPr>
        <w:t xml:space="preserve">The bending test results showed that, compared with specimen A, specimen B exhibited approximately 70% of the bending stiffness and about 77% of the bending strength of the sand–ordinary cement mortar. Comparison among specimens B–E revealed that higher proportions of magnesia cement relative to soil resulted in greater strength and stiffness. In addition, comparison among specimens B, F, and G indicated that increasing the number of glass fiber mesh layers up to four </w:t>
      </w:r>
      <w:r w:rsidRPr="008673AC">
        <w:rPr>
          <w:lang w:eastAsia="ja-JP"/>
        </w:rPr>
        <w:lastRenderedPageBreak/>
        <w:t>significantly improved bending strength, whereas increasing it further to six layers did not produce a substantial increase compared with four layers.</w:t>
      </w:r>
    </w:p>
    <w:p w14:paraId="55DDCC75" w14:textId="5DB0DF90" w:rsidR="008673AC" w:rsidRPr="008673AC" w:rsidRDefault="008673AC" w:rsidP="008673AC">
      <w:pPr>
        <w:rPr>
          <w:lang w:eastAsia="ja-JP"/>
        </w:rPr>
      </w:pPr>
      <w:r w:rsidRPr="008673AC">
        <w:rPr>
          <w:rFonts w:eastAsiaTheme="minorEastAsia"/>
          <w:lang w:eastAsia="ja-JP"/>
        </w:rPr>
        <w:t>From these results, although the strength was slightly lower than that of GFRC using sand and ordinary Portland cement, it was confirmed that sufficient bending strength can be achieved with the soil–magnesia cement material by increasing the fiber content. In the prototype fabrication described in Chapter 4, the mixture ratio and fiber amount of specimen F, which exhibited the highest bending strength, were adopted.</w:t>
      </w:r>
    </w:p>
    <w:p w14:paraId="4A7EF9D9" w14:textId="3799A097" w:rsidR="00BA1545" w:rsidRPr="008673AC" w:rsidRDefault="00BA1545" w:rsidP="00BA1545">
      <w:pPr>
        <w:pStyle w:val="p1a"/>
        <w:rPr>
          <w:rFonts w:eastAsiaTheme="minorEastAsia"/>
          <w:lang w:eastAsia="ja-JP"/>
        </w:rPr>
      </w:pPr>
    </w:p>
    <w:p w14:paraId="07D04250" w14:textId="6C359174" w:rsidR="00A828FA" w:rsidRPr="00A828FA" w:rsidRDefault="00A828FA" w:rsidP="00A828FA">
      <w:pPr>
        <w:pStyle w:val="tablelegend"/>
        <w:rPr>
          <w:rFonts w:eastAsiaTheme="minorEastAsia"/>
          <w:lang w:eastAsia="ja-JP"/>
        </w:rPr>
      </w:pPr>
      <w:r w:rsidRPr="002972EB">
        <w:rPr>
          <w:b/>
        </w:rPr>
        <w:t>Table 1</w:t>
      </w:r>
      <w:r>
        <w:rPr>
          <w:b/>
        </w:rPr>
        <w:t xml:space="preserve"> </w:t>
      </w:r>
      <w:r w:rsidR="00C7041F" w:rsidRPr="00C7041F">
        <w:rPr>
          <w:lang w:eastAsia="en-GB"/>
        </w:rPr>
        <w:t>Specimen Specifications and Bending Test Results</w:t>
      </w:r>
    </w:p>
    <w:bookmarkStart w:id="0" w:name="_MON_1835093285"/>
    <w:bookmarkEnd w:id="0"/>
    <w:p w14:paraId="5FC7CA64" w14:textId="6CA39D8E" w:rsidR="003F4113" w:rsidRDefault="00801BA6" w:rsidP="003F4113">
      <w:pPr>
        <w:pStyle w:val="p1a"/>
        <w:rPr>
          <w:rFonts w:eastAsia="游明朝"/>
          <w:lang w:eastAsia="ja-JP"/>
        </w:rPr>
      </w:pPr>
      <w:r>
        <w:rPr>
          <w:rFonts w:eastAsiaTheme="minorEastAsia"/>
          <w:lang w:eastAsia="ja-JP"/>
        </w:rPr>
        <w:object w:dxaOrig="8808" w:dyaOrig="4572" w14:anchorId="76DD5E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8pt;height:171.15pt" o:ole="">
            <v:imagedata r:id="rId8" o:title=""/>
          </v:shape>
          <o:OLEObject Type="Embed" ProgID="Excel.Sheet.12" ShapeID="_x0000_i1025" DrawAspect="Content" ObjectID="_1835760889" r:id="rId9"/>
        </w:object>
      </w:r>
    </w:p>
    <w:p w14:paraId="26C04731" w14:textId="6E2E3E2A" w:rsidR="00806DCF" w:rsidRPr="00806DCF" w:rsidRDefault="00806DCF" w:rsidP="00806DCF">
      <w:pPr>
        <w:rPr>
          <w:rFonts w:eastAsiaTheme="minorEastAsia"/>
          <w:lang w:eastAsia="ja-JP"/>
        </w:rPr>
      </w:pPr>
    </w:p>
    <w:p w14:paraId="2F108677" w14:textId="17EA99A0" w:rsidR="00E968C6" w:rsidRPr="00E968C6" w:rsidRDefault="00A1241D" w:rsidP="00E968C6">
      <w:pPr>
        <w:pStyle w:val="heading2"/>
        <w:rPr>
          <w:rFonts w:eastAsia="游明朝"/>
          <w:lang w:eastAsia="ja-JP"/>
        </w:rPr>
      </w:pPr>
      <w:r>
        <w:rPr>
          <w:rFonts w:eastAsia="游明朝" w:hint="eastAsia"/>
          <w:lang w:eastAsia="ja-JP"/>
        </w:rPr>
        <w:t>3</w:t>
      </w:r>
      <w:r w:rsidR="00E968C6" w:rsidRPr="00F52238">
        <w:t>.</w:t>
      </w:r>
      <w:r w:rsidR="00E968C6">
        <w:rPr>
          <w:rFonts w:eastAsia="游明朝" w:hint="eastAsia"/>
          <w:lang w:eastAsia="ja-JP"/>
        </w:rPr>
        <w:t>4</w:t>
      </w:r>
      <w:r w:rsidR="00E968C6" w:rsidRPr="00F52238">
        <w:t xml:space="preserve"> </w:t>
      </w:r>
      <w:r w:rsidR="00E968C6" w:rsidRPr="00E968C6">
        <w:rPr>
          <w:rFonts w:eastAsia="游明朝"/>
          <w:lang w:eastAsia="ja-JP"/>
        </w:rPr>
        <w:t>Environmental Potential</w:t>
      </w:r>
    </w:p>
    <w:p w14:paraId="0EAC4C67" w14:textId="77777777" w:rsidR="003F4113" w:rsidRPr="003F4113" w:rsidRDefault="003F4113" w:rsidP="003F4113">
      <w:pPr>
        <w:pStyle w:val="p1a"/>
        <w:rPr>
          <w:rFonts w:eastAsia="游明朝"/>
          <w:lang w:eastAsia="ja-JP"/>
        </w:rPr>
      </w:pPr>
      <w:r w:rsidRPr="003F4113">
        <w:rPr>
          <w:rFonts w:eastAsia="游明朝" w:hint="eastAsia"/>
          <w:lang w:eastAsia="ja-JP"/>
        </w:rPr>
        <w:t>Awaji</w:t>
      </w:r>
    </w:p>
    <w:p w14:paraId="2AB2C91E" w14:textId="1CEF55B6" w:rsidR="00615281" w:rsidRPr="00F52238" w:rsidRDefault="00615281" w:rsidP="00615281">
      <w:pPr>
        <w:pStyle w:val="heading1"/>
        <w:rPr>
          <w:rFonts w:eastAsia="游明朝"/>
          <w:lang w:val="en-GB" w:eastAsia="ja-JP"/>
        </w:rPr>
      </w:pPr>
      <w:r>
        <w:rPr>
          <w:rFonts w:eastAsia="游明朝" w:hint="eastAsia"/>
          <w:lang w:val="en-GB" w:eastAsia="ja-JP"/>
        </w:rPr>
        <w:t>4</w:t>
      </w:r>
      <w:r>
        <w:rPr>
          <w:lang w:val="en-GB" w:eastAsia="en-GB"/>
        </w:rPr>
        <w:t xml:space="preserve"> </w:t>
      </w:r>
      <w:r>
        <w:rPr>
          <w:rFonts w:eastAsia="游明朝" w:hint="eastAsia"/>
          <w:lang w:val="en-GB" w:eastAsia="ja-JP"/>
        </w:rPr>
        <w:t>Prototype Fabrication</w:t>
      </w:r>
    </w:p>
    <w:p w14:paraId="27DA4311" w14:textId="3DC3E6E8" w:rsidR="00615281" w:rsidRPr="00123C3A" w:rsidRDefault="00615281" w:rsidP="00615281">
      <w:pPr>
        <w:pStyle w:val="heading2"/>
      </w:pPr>
      <w:r>
        <w:rPr>
          <w:rFonts w:eastAsia="游明朝" w:hint="eastAsia"/>
          <w:lang w:eastAsia="ja-JP"/>
        </w:rPr>
        <w:t>4</w:t>
      </w:r>
      <w:r w:rsidRPr="00F52238">
        <w:t xml:space="preserve">.1 </w:t>
      </w:r>
      <w:r w:rsidRPr="00615281">
        <w:rPr>
          <w:rFonts w:eastAsia="游明朝"/>
          <w:lang w:eastAsia="ja-JP"/>
        </w:rPr>
        <w:t>Target Surface Definition</w:t>
      </w:r>
    </w:p>
    <w:p w14:paraId="639291D9" w14:textId="77777777" w:rsidR="003F4113" w:rsidRPr="003F4113" w:rsidRDefault="003F4113" w:rsidP="003F4113">
      <w:pPr>
        <w:pStyle w:val="p1a"/>
        <w:rPr>
          <w:rFonts w:eastAsia="游明朝"/>
          <w:lang w:eastAsia="ja-JP"/>
        </w:rPr>
      </w:pPr>
      <w:r w:rsidRPr="003F4113">
        <w:rPr>
          <w:rFonts w:eastAsia="游明朝" w:hint="eastAsia"/>
          <w:lang w:eastAsia="ja-JP"/>
        </w:rPr>
        <w:t>Awaji</w:t>
      </w:r>
    </w:p>
    <w:p w14:paraId="7B4B9B5E" w14:textId="060AB370" w:rsidR="00615281" w:rsidRPr="003F4113" w:rsidRDefault="00615281" w:rsidP="00615281">
      <w:pPr>
        <w:pStyle w:val="p1a"/>
        <w:rPr>
          <w:rFonts w:eastAsiaTheme="minorEastAsia"/>
          <w:lang w:eastAsia="ja-JP"/>
        </w:rPr>
      </w:pPr>
    </w:p>
    <w:p w14:paraId="1E946E32" w14:textId="43F14FA5" w:rsidR="00615281" w:rsidRPr="00E968C6" w:rsidRDefault="00615281" w:rsidP="00615281">
      <w:pPr>
        <w:pStyle w:val="heading2"/>
        <w:rPr>
          <w:rFonts w:eastAsia="游明朝"/>
          <w:lang w:eastAsia="ja-JP"/>
        </w:rPr>
      </w:pPr>
      <w:r>
        <w:rPr>
          <w:rFonts w:eastAsia="游明朝" w:hint="eastAsia"/>
          <w:lang w:eastAsia="ja-JP"/>
        </w:rPr>
        <w:t>4</w:t>
      </w:r>
      <w:r w:rsidRPr="00F52238">
        <w:t>.</w:t>
      </w:r>
      <w:r w:rsidRPr="00E968C6">
        <w:rPr>
          <w:rFonts w:eastAsia="游明朝" w:hint="eastAsia"/>
          <w:lang w:eastAsia="ja-JP"/>
        </w:rPr>
        <w:t>2</w:t>
      </w:r>
      <w:r w:rsidRPr="00F52238">
        <w:t xml:space="preserve"> </w:t>
      </w:r>
      <w:r w:rsidRPr="00615281">
        <w:rPr>
          <w:rFonts w:eastAsia="游明朝"/>
          <w:lang w:eastAsia="ja-JP"/>
        </w:rPr>
        <w:t>Fabrication Process</w:t>
      </w:r>
    </w:p>
    <w:p w14:paraId="1BC94182" w14:textId="5B1C2E4F" w:rsidR="00615281" w:rsidRPr="003F4113" w:rsidRDefault="003F4113" w:rsidP="00615281">
      <w:pPr>
        <w:pStyle w:val="p1a"/>
        <w:rPr>
          <w:rFonts w:eastAsiaTheme="minorEastAsia"/>
          <w:lang w:eastAsia="ja-JP"/>
        </w:rPr>
      </w:pPr>
      <w:r w:rsidRPr="003F4113">
        <w:rPr>
          <w:rFonts w:eastAsia="游明朝" w:hint="eastAsia"/>
          <w:lang w:eastAsia="ja-JP"/>
        </w:rPr>
        <w:t>Awaji</w:t>
      </w:r>
    </w:p>
    <w:p w14:paraId="12E2E82E" w14:textId="7B7BC330" w:rsidR="00615281" w:rsidRPr="00E968C6" w:rsidRDefault="00615281" w:rsidP="00615281">
      <w:pPr>
        <w:pStyle w:val="heading2"/>
        <w:rPr>
          <w:rFonts w:eastAsia="游明朝"/>
          <w:lang w:eastAsia="ja-JP"/>
        </w:rPr>
      </w:pPr>
      <w:r>
        <w:rPr>
          <w:rFonts w:eastAsia="游明朝" w:hint="eastAsia"/>
          <w:lang w:eastAsia="ja-JP"/>
        </w:rPr>
        <w:t>4</w:t>
      </w:r>
      <w:r w:rsidRPr="00F52238">
        <w:t>.</w:t>
      </w:r>
      <w:r w:rsidRPr="00E968C6">
        <w:rPr>
          <w:rFonts w:eastAsia="游明朝" w:hint="eastAsia"/>
          <w:lang w:eastAsia="ja-JP"/>
        </w:rPr>
        <w:t>3</w:t>
      </w:r>
      <w:r w:rsidRPr="00F52238">
        <w:t xml:space="preserve"> </w:t>
      </w:r>
      <w:r w:rsidRPr="00615281">
        <w:rPr>
          <w:rFonts w:eastAsia="游明朝"/>
          <w:lang w:eastAsia="ja-JP"/>
        </w:rPr>
        <w:t>Geometric Accuracy Evaluation</w:t>
      </w:r>
    </w:p>
    <w:p w14:paraId="40F58C8D" w14:textId="4869159F" w:rsidR="00615281" w:rsidRPr="003F4113" w:rsidRDefault="003F4113" w:rsidP="003F4113">
      <w:pPr>
        <w:pStyle w:val="p1a"/>
        <w:rPr>
          <w:rFonts w:eastAsia="游明朝"/>
          <w:lang w:eastAsia="ja-JP"/>
        </w:rPr>
      </w:pPr>
      <w:r w:rsidRPr="003F4113">
        <w:rPr>
          <w:rFonts w:eastAsia="游明朝" w:hint="eastAsia"/>
          <w:lang w:eastAsia="ja-JP"/>
        </w:rPr>
        <w:t>Awaji</w:t>
      </w:r>
    </w:p>
    <w:p w14:paraId="2C22B502" w14:textId="112131FA" w:rsidR="00615281" w:rsidRDefault="00615281" w:rsidP="00615281">
      <w:pPr>
        <w:pStyle w:val="heading1"/>
        <w:rPr>
          <w:rFonts w:eastAsia="游明朝"/>
          <w:lang w:val="en-GB" w:eastAsia="ja-JP"/>
        </w:rPr>
      </w:pPr>
      <w:r>
        <w:rPr>
          <w:rFonts w:eastAsia="游明朝" w:hint="eastAsia"/>
          <w:lang w:val="en-GB" w:eastAsia="ja-JP"/>
        </w:rPr>
        <w:t>5</w:t>
      </w:r>
      <w:r>
        <w:rPr>
          <w:lang w:val="en-GB" w:eastAsia="en-GB"/>
        </w:rPr>
        <w:t xml:space="preserve"> </w:t>
      </w:r>
      <w:r>
        <w:rPr>
          <w:rFonts w:eastAsia="游明朝" w:hint="eastAsia"/>
          <w:lang w:val="en-GB" w:eastAsia="ja-JP"/>
        </w:rPr>
        <w:t>Discussion</w:t>
      </w:r>
    </w:p>
    <w:p w14:paraId="5BC2026D" w14:textId="77777777" w:rsidR="003F4113" w:rsidRPr="003F4113" w:rsidRDefault="003F4113" w:rsidP="003F4113">
      <w:pPr>
        <w:pStyle w:val="p1a"/>
        <w:rPr>
          <w:rFonts w:eastAsia="游明朝"/>
          <w:lang w:eastAsia="ja-JP"/>
        </w:rPr>
      </w:pPr>
      <w:r w:rsidRPr="003F4113">
        <w:rPr>
          <w:rFonts w:eastAsia="游明朝" w:hint="eastAsia"/>
          <w:lang w:eastAsia="ja-JP"/>
        </w:rPr>
        <w:t>Awaji</w:t>
      </w:r>
    </w:p>
    <w:p w14:paraId="59C1AB64" w14:textId="55E3A21F" w:rsidR="00615281" w:rsidRDefault="00615281" w:rsidP="00615281">
      <w:pPr>
        <w:pStyle w:val="heading1"/>
        <w:rPr>
          <w:rFonts w:eastAsia="游明朝"/>
          <w:lang w:val="en-GB" w:eastAsia="ja-JP"/>
        </w:rPr>
      </w:pPr>
      <w:r>
        <w:rPr>
          <w:rFonts w:eastAsia="游明朝" w:hint="eastAsia"/>
          <w:lang w:val="en-GB" w:eastAsia="ja-JP"/>
        </w:rPr>
        <w:t>6</w:t>
      </w:r>
      <w:r>
        <w:rPr>
          <w:lang w:val="en-GB" w:eastAsia="en-GB"/>
        </w:rPr>
        <w:t xml:space="preserve"> </w:t>
      </w:r>
      <w:r>
        <w:rPr>
          <w:rFonts w:eastAsia="游明朝" w:hint="eastAsia"/>
          <w:lang w:val="en-GB" w:eastAsia="ja-JP"/>
        </w:rPr>
        <w:t>Conclusion and Future Prospect</w:t>
      </w:r>
    </w:p>
    <w:p w14:paraId="11B8FF39" w14:textId="26B7CCBE" w:rsidR="00615281" w:rsidRPr="003F4113" w:rsidRDefault="003F4113" w:rsidP="00615281">
      <w:pPr>
        <w:pStyle w:val="p1a"/>
        <w:rPr>
          <w:rFonts w:eastAsia="游明朝"/>
          <w:lang w:eastAsia="ja-JP"/>
        </w:rPr>
      </w:pPr>
      <w:r w:rsidRPr="003F4113">
        <w:rPr>
          <w:rFonts w:eastAsia="游明朝" w:hint="eastAsia"/>
          <w:lang w:eastAsia="ja-JP"/>
        </w:rPr>
        <w:t>Awaji</w:t>
      </w:r>
    </w:p>
    <w:p w14:paraId="3C15D1E9" w14:textId="77777777" w:rsidR="00615281" w:rsidRPr="00615281" w:rsidRDefault="00615281" w:rsidP="00615281">
      <w:pPr>
        <w:rPr>
          <w:rFonts w:eastAsiaTheme="minorEastAsia"/>
          <w:lang w:eastAsia="ja-JP"/>
        </w:rPr>
      </w:pPr>
    </w:p>
    <w:p w14:paraId="0E5E40DB" w14:textId="65DF0903" w:rsidR="002972EB" w:rsidRDefault="00615281" w:rsidP="002972EB">
      <w:pPr>
        <w:pStyle w:val="heading1"/>
        <w:rPr>
          <w:lang w:eastAsia="en-GB"/>
        </w:rPr>
      </w:pPr>
      <w:r>
        <w:rPr>
          <w:rFonts w:eastAsiaTheme="minorEastAsia" w:hint="eastAsia"/>
          <w:lang w:eastAsia="ja-JP"/>
        </w:rPr>
        <w:t>7</w:t>
      </w:r>
      <w:r w:rsidR="002972EB">
        <w:rPr>
          <w:lang w:eastAsia="en-GB"/>
        </w:rPr>
        <w:t xml:space="preserve"> References</w:t>
      </w:r>
    </w:p>
    <w:p w14:paraId="39D86EE9" w14:textId="1D8A02D7" w:rsidR="003F4113" w:rsidRPr="003F4113" w:rsidRDefault="003F4113" w:rsidP="003F4113">
      <w:pPr>
        <w:pStyle w:val="references"/>
        <w:numPr>
          <w:ilvl w:val="0"/>
          <w:numId w:val="27"/>
        </w:numPr>
        <w:rPr>
          <w:lang w:val="en-GB" w:eastAsia="en-GB"/>
        </w:rPr>
      </w:pPr>
      <w:r w:rsidRPr="003F4113">
        <w:rPr>
          <w:lang w:val="en-GB" w:eastAsia="en-GB"/>
        </w:rPr>
        <w:t>Raun, C., &amp; Adapa, R. (2015). Adaptive mould: A cost-effective mould system linking design and manufacturing of double-curved GFRC panels. Proceedings of the GRCA Congress 2015.</w:t>
      </w:r>
    </w:p>
    <w:p w14:paraId="3F23BA1C" w14:textId="1DC97F6A" w:rsidR="003F4113" w:rsidRPr="003F4113" w:rsidRDefault="003F4113" w:rsidP="003F4113">
      <w:pPr>
        <w:pStyle w:val="references"/>
        <w:numPr>
          <w:ilvl w:val="0"/>
          <w:numId w:val="27"/>
        </w:numPr>
        <w:rPr>
          <w:lang w:val="en-GB" w:eastAsia="en-GB"/>
        </w:rPr>
      </w:pPr>
      <w:r w:rsidRPr="003F4113">
        <w:rPr>
          <w:lang w:val="en-GB" w:eastAsia="en-GB"/>
        </w:rPr>
        <w:t>Nakayama, K., Awaji, H., Sakai, Y., Yoshikawa, R., Hayashi, S., Gondo, T., &amp; Kimura, T. (2025). Auxetic bending-active formwork system for free-form continuum shells. Proceedings of CAADRIA, pp.419–428.</w:t>
      </w:r>
    </w:p>
    <w:p w14:paraId="5C7CA8CC" w14:textId="0A85CF6B" w:rsidR="002972EB" w:rsidRPr="002972EB" w:rsidRDefault="003F4113" w:rsidP="003F4113">
      <w:pPr>
        <w:pStyle w:val="references"/>
        <w:numPr>
          <w:ilvl w:val="0"/>
          <w:numId w:val="27"/>
        </w:numPr>
        <w:rPr>
          <w:lang w:eastAsia="en-GB"/>
        </w:rPr>
      </w:pPr>
      <w:r w:rsidRPr="003F4113">
        <w:rPr>
          <w:lang w:val="en-GB" w:eastAsia="en-GB"/>
        </w:rPr>
        <w:t xml:space="preserve">Ahmad, F., Rawat, S., Zhang, Y., (2024). Magnesium oxychloride cement: Development and advances, including water-resistant and </w:t>
      </w:r>
      <w:proofErr w:type="spellStart"/>
      <w:r w:rsidRPr="003F4113">
        <w:rPr>
          <w:lang w:val="en-GB" w:eastAsia="en-GB"/>
        </w:rPr>
        <w:t>fiber</w:t>
      </w:r>
      <w:proofErr w:type="spellEnd"/>
      <w:r w:rsidRPr="003F4113">
        <w:rPr>
          <w:lang w:val="en-GB" w:eastAsia="en-GB"/>
        </w:rPr>
        <w:t>-reinforced composites. Applied Sciences, 14(7), p.3074.</w:t>
      </w:r>
    </w:p>
    <w:sectPr w:rsidR="002972EB" w:rsidRPr="002972EB" w:rsidSect="00740092">
      <w:headerReference w:type="even" r:id="rId10"/>
      <w:headerReference w:type="default" r:id="rId11"/>
      <w:type w:val="oddPage"/>
      <w:pgSz w:w="11906" w:h="16838" w:code="9"/>
      <w:pgMar w:top="2948" w:right="2665" w:bottom="3231" w:left="2608" w:header="2381" w:footer="709"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F93A3" w14:textId="77777777" w:rsidR="0097682B" w:rsidRDefault="0097682B">
      <w:r>
        <w:separator/>
      </w:r>
    </w:p>
  </w:endnote>
  <w:endnote w:type="continuationSeparator" w:id="0">
    <w:p w14:paraId="541E72A9" w14:textId="77777777" w:rsidR="0097682B" w:rsidRDefault="00976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embedRegular r:id="rId1" w:fontKey="{5D3DD055-1A81-428F-8663-D403D188A168}"/>
    <w:embedBold r:id="rId2" w:fontKey="{93603020-1AA3-4ECA-864E-22BAFC0446FE}"/>
    <w:embedItalic r:id="rId3" w:fontKey="{3509CC2C-F791-4A15-98BE-C470F3CE69F5}"/>
    <w:embedBoldItalic r:id="rId4" w:fontKey="{0D1E1396-931B-4185-8F70-A7AC7CC130F8}"/>
  </w:font>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3189F" w14:textId="77777777" w:rsidR="0097682B" w:rsidRDefault="0097682B">
      <w:pPr>
        <w:pStyle w:val="p1a"/>
      </w:pPr>
      <w:r>
        <w:separator/>
      </w:r>
    </w:p>
  </w:footnote>
  <w:footnote w:type="continuationSeparator" w:id="0">
    <w:p w14:paraId="4599D819" w14:textId="77777777" w:rsidR="0097682B" w:rsidRDefault="0097682B">
      <w:r>
        <w:continuationSeparator/>
      </w:r>
    </w:p>
  </w:footnote>
  <w:footnote w:id="1">
    <w:p w14:paraId="24A02C84" w14:textId="72FE1FBF" w:rsidR="0062173D" w:rsidRPr="00B4013F" w:rsidRDefault="0062173D" w:rsidP="00C77BAB">
      <w:pPr>
        <w:pStyle w:val="affiliation"/>
        <w:rPr>
          <w:rFonts w:eastAsiaTheme="minorEastAsia"/>
          <w:lang w:val="en-GB" w:eastAsia="ja-JP"/>
        </w:rPr>
      </w:pPr>
      <w:r>
        <w:rPr>
          <w:rStyle w:val="a6"/>
        </w:rPr>
        <w:footnoteRef/>
      </w:r>
      <w:r w:rsidRPr="0066493C">
        <w:rPr>
          <w:lang w:val="de-DE"/>
        </w:rPr>
        <w:t xml:space="preserve"> </w:t>
      </w:r>
      <w:r w:rsidR="00B4013F">
        <w:rPr>
          <w:rFonts w:eastAsiaTheme="minorEastAsia" w:hint="eastAsia"/>
          <w:lang w:val="de-DE" w:eastAsia="ja-JP"/>
        </w:rPr>
        <w:t>H</w:t>
      </w:r>
      <w:r w:rsidRPr="00D86F17">
        <w:rPr>
          <w:lang w:val="de-DE"/>
        </w:rPr>
        <w:t xml:space="preserve">. </w:t>
      </w:r>
      <w:r w:rsidR="00B4013F">
        <w:rPr>
          <w:rFonts w:eastAsiaTheme="minorEastAsia" w:hint="eastAsia"/>
          <w:lang w:eastAsia="ja-JP"/>
        </w:rPr>
        <w:t>Awaji</w:t>
      </w:r>
      <w:r w:rsidRPr="00D86F17">
        <w:rPr>
          <w:lang w:val="de-DE"/>
        </w:rPr>
        <w:t xml:space="preserve"> (</w:t>
      </w:r>
      <w:r>
        <w:sym w:font="Wingdings" w:char="F02A"/>
      </w:r>
      <w:r w:rsidRPr="00D86F17">
        <w:rPr>
          <w:lang w:val="de-DE"/>
        </w:rPr>
        <w:t>)</w:t>
      </w:r>
      <w:r w:rsidRPr="00D86F17">
        <w:rPr>
          <w:lang w:val="de-DE"/>
        </w:rPr>
        <w:br/>
      </w:r>
      <w:r w:rsidR="00B4013F" w:rsidRPr="00B4013F">
        <w:rPr>
          <w:rFonts w:eastAsia="游明朝" w:hint="eastAsia"/>
          <w:lang w:eastAsia="ja-JP"/>
        </w:rPr>
        <w:t>The University of Tokyo, Tokyo, Japan</w:t>
      </w:r>
      <w:r w:rsidR="00B4013F">
        <w:rPr>
          <w:rFonts w:eastAsiaTheme="minorEastAsia" w:hint="eastAsia"/>
          <w:lang w:eastAsia="ja-JP"/>
        </w:rPr>
        <w:t xml:space="preserve">     </w:t>
      </w:r>
      <w:r w:rsidR="00B4013F" w:rsidRPr="00B4013F">
        <w:rPr>
          <w:lang w:eastAsia="en-GB"/>
        </w:rPr>
        <w:t>Asahi Building-Wall Co., Ltd. (AGB), Tokyo, Japan</w:t>
      </w:r>
      <w:r>
        <w:rPr>
          <w:lang w:val="en-GB" w:eastAsia="en-GB"/>
        </w:rPr>
        <w:br/>
      </w:r>
      <w:r w:rsidRPr="00D86F17">
        <w:t xml:space="preserve">e-mail: </w:t>
      </w:r>
      <w:r w:rsidR="00B4013F">
        <w:rPr>
          <w:rFonts w:eastAsiaTheme="minorEastAsia" w:hint="eastAsia"/>
          <w:lang w:eastAsia="ja-JP"/>
        </w:rPr>
        <w:t>h</w:t>
      </w:r>
      <w:r w:rsidR="00B4013F">
        <w:rPr>
          <w:rFonts w:eastAsiaTheme="minorEastAsia"/>
          <w:lang w:eastAsia="ja-JP"/>
        </w:rPr>
        <w:t>iroki</w:t>
      </w:r>
      <w:r w:rsidR="00B4013F">
        <w:rPr>
          <w:rFonts w:eastAsiaTheme="minorEastAsia" w:hint="eastAsia"/>
          <w:lang w:eastAsia="ja-JP"/>
        </w:rPr>
        <w:t>-awaji</w:t>
      </w:r>
      <w:r w:rsidRPr="00D86F17">
        <w:t>@</w:t>
      </w:r>
      <w:r w:rsidR="00B4013F">
        <w:rPr>
          <w:rFonts w:eastAsiaTheme="minorEastAsia" w:hint="eastAsia"/>
          <w:lang w:eastAsia="ja-JP"/>
        </w:rPr>
        <w:t>agb.co.jp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E7596" w14:textId="77777777" w:rsidR="0062173D" w:rsidRDefault="00F018FF" w:rsidP="0062173D">
    <w:pPr>
      <w:pStyle w:val="Runninghead-left"/>
      <w:tabs>
        <w:tab w:val="clear" w:pos="680"/>
        <w:tab w:val="clear" w:pos="6237"/>
        <w:tab w:val="clear" w:pos="6917"/>
        <w:tab w:val="right" w:pos="6634"/>
      </w:tabs>
    </w:pPr>
    <w:r>
      <w:fldChar w:fldCharType="begin"/>
    </w:r>
    <w:r>
      <w:instrText xml:space="preserve"> PAGE  \* MERGEFORMAT </w:instrText>
    </w:r>
    <w:r>
      <w:fldChar w:fldCharType="separate"/>
    </w:r>
    <w:r w:rsidR="00390A23">
      <w:rPr>
        <w:noProof/>
      </w:rPr>
      <w:t>2</w:t>
    </w:r>
    <w:r>
      <w:fldChar w:fldCharType="end"/>
    </w:r>
    <w:r w:rsidR="0062173D">
      <w:t xml:space="preserve"> </w:t>
    </w:r>
    <w:r w:rsidR="0062173D">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DB13F" w14:textId="77777777" w:rsidR="0062173D" w:rsidRDefault="0062173D" w:rsidP="00CD3B26">
    <w:pPr>
      <w:pStyle w:val="Runninghead-right"/>
      <w:tabs>
        <w:tab w:val="clear" w:pos="680"/>
        <w:tab w:val="clear" w:pos="6237"/>
        <w:tab w:val="clear" w:pos="6917"/>
        <w:tab w:val="right" w:pos="6634"/>
      </w:tabs>
    </w:pPr>
    <w:r>
      <w:tab/>
    </w:r>
    <w:r w:rsidR="00F018FF">
      <w:fldChar w:fldCharType="begin"/>
    </w:r>
    <w:r w:rsidR="00F018FF">
      <w:instrText xml:space="preserve"> PAGE  \* MERGEFORMAT </w:instrText>
    </w:r>
    <w:r w:rsidR="00F018FF">
      <w:fldChar w:fldCharType="separate"/>
    </w:r>
    <w:r w:rsidR="00390A23">
      <w:rPr>
        <w:noProof/>
      </w:rPr>
      <w:t>3</w:t>
    </w:r>
    <w:r w:rsidR="00F018FF">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FFFFFFFE"/>
    <w:multiLevelType w:val="singleLevel"/>
    <w:tmpl w:val="7A8E2DA8"/>
    <w:lvl w:ilvl="0">
      <w:numFmt w:val="decimal"/>
      <w:lvlText w:val="*"/>
      <w:lvlJc w:val="left"/>
    </w:lvl>
  </w:abstractNum>
  <w:abstractNum w:abstractNumId="2" w15:restartNumberingAfterBreak="0">
    <w:nsid w:val="18DB5197"/>
    <w:multiLevelType w:val="hybridMultilevel"/>
    <w:tmpl w:val="BE1AA52A"/>
    <w:lvl w:ilvl="0" w:tplc="9BE2B4D4">
      <w:start w:val="1"/>
      <w:numFmt w:val="bullet"/>
      <w:lvlText w:val=""/>
      <w:lvlJc w:val="left"/>
      <w:pPr>
        <w:tabs>
          <w:tab w:val="num" w:pos="360"/>
        </w:tabs>
        <w:ind w:left="227" w:hanging="227"/>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5811A9"/>
    <w:multiLevelType w:val="hybridMultilevel"/>
    <w:tmpl w:val="0128A344"/>
    <w:lvl w:ilvl="0" w:tplc="5B484A84">
      <w:start w:val="1"/>
      <w:numFmt w:val="bullet"/>
      <w:pStyle w:val="BulletItem"/>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120F89"/>
    <w:multiLevelType w:val="singleLevel"/>
    <w:tmpl w:val="0EA0939C"/>
    <w:lvl w:ilvl="0">
      <w:start w:val="1"/>
      <w:numFmt w:val="decimal"/>
      <w:lvlText w:val="%1."/>
      <w:legacy w:legacy="1" w:legacySpace="0" w:legacyIndent="227"/>
      <w:lvlJc w:val="left"/>
      <w:pPr>
        <w:ind w:left="454" w:hanging="227"/>
      </w:pPr>
    </w:lvl>
  </w:abstractNum>
  <w:abstractNum w:abstractNumId="5" w15:restartNumberingAfterBreak="0">
    <w:nsid w:val="3B1C6D46"/>
    <w:multiLevelType w:val="singleLevel"/>
    <w:tmpl w:val="0EA0939C"/>
    <w:lvl w:ilvl="0">
      <w:start w:val="1"/>
      <w:numFmt w:val="decimal"/>
      <w:lvlText w:val="%1."/>
      <w:legacy w:legacy="1" w:legacySpace="0" w:legacyIndent="227"/>
      <w:lvlJc w:val="left"/>
      <w:pPr>
        <w:ind w:left="227" w:hanging="227"/>
      </w:pPr>
    </w:lvl>
  </w:abstractNum>
  <w:abstractNum w:abstractNumId="6" w15:restartNumberingAfterBreak="0">
    <w:nsid w:val="4C436AB0"/>
    <w:multiLevelType w:val="hybridMultilevel"/>
    <w:tmpl w:val="6B202B2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DA75F4C"/>
    <w:multiLevelType w:val="hybridMultilevel"/>
    <w:tmpl w:val="96B88748"/>
    <w:lvl w:ilvl="0" w:tplc="667AC538">
      <w:start w:val="1"/>
      <w:numFmt w:val="decimal"/>
      <w:lvlText w:val="%1."/>
      <w:lvlJc w:val="left"/>
      <w:pPr>
        <w:ind w:left="360" w:hanging="360"/>
      </w:pPr>
      <w:rPr>
        <w:rFonts w:eastAsiaTheme="minorEastAsia"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754474F7"/>
    <w:multiLevelType w:val="singleLevel"/>
    <w:tmpl w:val="0EA0939C"/>
    <w:lvl w:ilvl="0">
      <w:start w:val="1"/>
      <w:numFmt w:val="decimal"/>
      <w:lvlText w:val="%1."/>
      <w:legacy w:legacy="1" w:legacySpace="0" w:legacyIndent="227"/>
      <w:lvlJc w:val="left"/>
      <w:pPr>
        <w:ind w:left="227" w:hanging="227"/>
      </w:pPr>
    </w:lvl>
  </w:abstractNum>
  <w:abstractNum w:abstractNumId="9" w15:restartNumberingAfterBreak="0">
    <w:nsid w:val="7E5259C0"/>
    <w:multiLevelType w:val="hybridMultilevel"/>
    <w:tmpl w:val="CD9ECA3C"/>
    <w:lvl w:ilvl="0" w:tplc="D3CE3028">
      <w:start w:val="1"/>
      <w:numFmt w:val="bullet"/>
      <w:lvlText w:val="-"/>
      <w:lvlJc w:val="left"/>
      <w:pPr>
        <w:tabs>
          <w:tab w:val="num" w:pos="587"/>
        </w:tabs>
        <w:ind w:left="454" w:hanging="227"/>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637107647">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734620334">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3" w16cid:durableId="827787170">
    <w:abstractNumId w:val="8"/>
  </w:num>
  <w:num w:numId="4" w16cid:durableId="1975255677">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5" w16cid:durableId="853151977">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6" w16cid:durableId="1746881154">
    <w:abstractNumId w:val="2"/>
  </w:num>
  <w:num w:numId="7" w16cid:durableId="829100181">
    <w:abstractNumId w:val="9"/>
  </w:num>
  <w:num w:numId="8" w16cid:durableId="1352101362">
    <w:abstractNumId w:val="4"/>
  </w:num>
  <w:num w:numId="9" w16cid:durableId="634339409">
    <w:abstractNumId w:val="2"/>
  </w:num>
  <w:num w:numId="10" w16cid:durableId="514854131">
    <w:abstractNumId w:val="9"/>
  </w:num>
  <w:num w:numId="11" w16cid:durableId="1763257268">
    <w:abstractNumId w:val="6"/>
  </w:num>
  <w:num w:numId="12" w16cid:durableId="1170562801">
    <w:abstractNumId w:val="0"/>
  </w:num>
  <w:num w:numId="13" w16cid:durableId="2120367881">
    <w:abstractNumId w:val="6"/>
  </w:num>
  <w:num w:numId="14" w16cid:durableId="91782514">
    <w:abstractNumId w:val="0"/>
  </w:num>
  <w:num w:numId="15" w16cid:durableId="1536194378">
    <w:abstractNumId w:val="0"/>
  </w:num>
  <w:num w:numId="16" w16cid:durableId="475030234">
    <w:abstractNumId w:val="6"/>
  </w:num>
  <w:num w:numId="17" w16cid:durableId="437457463">
    <w:abstractNumId w:val="0"/>
  </w:num>
  <w:num w:numId="18" w16cid:durableId="2055151007">
    <w:abstractNumId w:val="0"/>
  </w:num>
  <w:num w:numId="19" w16cid:durableId="580062271">
    <w:abstractNumId w:val="9"/>
  </w:num>
  <w:num w:numId="20" w16cid:durableId="2021466137">
    <w:abstractNumId w:val="9"/>
  </w:num>
  <w:num w:numId="21" w16cid:durableId="601379483">
    <w:abstractNumId w:val="9"/>
  </w:num>
  <w:num w:numId="22" w16cid:durableId="1427847458">
    <w:abstractNumId w:val="3"/>
  </w:num>
  <w:num w:numId="23" w16cid:durableId="39404286">
    <w:abstractNumId w:val="3"/>
  </w:num>
  <w:num w:numId="24" w16cid:durableId="1584870169">
    <w:abstractNumId w:val="3"/>
  </w:num>
  <w:num w:numId="25" w16cid:durableId="316615476">
    <w:abstractNumId w:val="3"/>
  </w:num>
  <w:num w:numId="26" w16cid:durableId="673917503">
    <w:abstractNumId w:val="5"/>
  </w:num>
  <w:num w:numId="27" w16cid:durableId="14437648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mirrorMargin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consecutiveHyphenLimit w:val="3"/>
  <w:hyphenationZone w:val="140"/>
  <w:doNotHyphenateCaps/>
  <w:evenAndOddHeaders/>
  <w:drawingGridHorizontalSpacing w:val="110"/>
  <w:drawingGridVerticalSpacing w:val="163"/>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7EE"/>
    <w:rsid w:val="00005F1B"/>
    <w:rsid w:val="0004327A"/>
    <w:rsid w:val="00044A53"/>
    <w:rsid w:val="00047E39"/>
    <w:rsid w:val="000E0820"/>
    <w:rsid w:val="000E2CE7"/>
    <w:rsid w:val="000F4B1E"/>
    <w:rsid w:val="00103A73"/>
    <w:rsid w:val="00111B78"/>
    <w:rsid w:val="00123C3A"/>
    <w:rsid w:val="001348F1"/>
    <w:rsid w:val="00135C17"/>
    <w:rsid w:val="001A04A2"/>
    <w:rsid w:val="001B5AA2"/>
    <w:rsid w:val="001C7ECD"/>
    <w:rsid w:val="001D0B49"/>
    <w:rsid w:val="001D73DE"/>
    <w:rsid w:val="002035C2"/>
    <w:rsid w:val="0022274D"/>
    <w:rsid w:val="00226F60"/>
    <w:rsid w:val="00236209"/>
    <w:rsid w:val="002972EB"/>
    <w:rsid w:val="002F2934"/>
    <w:rsid w:val="00334FEC"/>
    <w:rsid w:val="0033521B"/>
    <w:rsid w:val="00360E7F"/>
    <w:rsid w:val="00390A23"/>
    <w:rsid w:val="003C3A93"/>
    <w:rsid w:val="003E02C0"/>
    <w:rsid w:val="003F3969"/>
    <w:rsid w:val="003F4113"/>
    <w:rsid w:val="00405E55"/>
    <w:rsid w:val="00410267"/>
    <w:rsid w:val="00422F32"/>
    <w:rsid w:val="00434BC0"/>
    <w:rsid w:val="004552DA"/>
    <w:rsid w:val="0046154C"/>
    <w:rsid w:val="00493C8D"/>
    <w:rsid w:val="004C6830"/>
    <w:rsid w:val="004F12B1"/>
    <w:rsid w:val="00544A38"/>
    <w:rsid w:val="00553B9B"/>
    <w:rsid w:val="00570D1D"/>
    <w:rsid w:val="00583E41"/>
    <w:rsid w:val="00594390"/>
    <w:rsid w:val="0059651C"/>
    <w:rsid w:val="005D7409"/>
    <w:rsid w:val="005F4215"/>
    <w:rsid w:val="00610087"/>
    <w:rsid w:val="006139F1"/>
    <w:rsid w:val="00615281"/>
    <w:rsid w:val="0062173D"/>
    <w:rsid w:val="00622BC2"/>
    <w:rsid w:val="00640694"/>
    <w:rsid w:val="006620E7"/>
    <w:rsid w:val="0066493C"/>
    <w:rsid w:val="00680383"/>
    <w:rsid w:val="006829A3"/>
    <w:rsid w:val="006844B0"/>
    <w:rsid w:val="006845C1"/>
    <w:rsid w:val="00685AFF"/>
    <w:rsid w:val="0069173E"/>
    <w:rsid w:val="006A574A"/>
    <w:rsid w:val="006C0CEE"/>
    <w:rsid w:val="006D6414"/>
    <w:rsid w:val="006E3B89"/>
    <w:rsid w:val="006E723D"/>
    <w:rsid w:val="006F34E0"/>
    <w:rsid w:val="00722F8A"/>
    <w:rsid w:val="00723352"/>
    <w:rsid w:val="00740092"/>
    <w:rsid w:val="00772BBE"/>
    <w:rsid w:val="0078734E"/>
    <w:rsid w:val="00790CEF"/>
    <w:rsid w:val="00791BDF"/>
    <w:rsid w:val="007A1146"/>
    <w:rsid w:val="007A2AD6"/>
    <w:rsid w:val="007D0ABB"/>
    <w:rsid w:val="00801BA6"/>
    <w:rsid w:val="00806DCF"/>
    <w:rsid w:val="008603F5"/>
    <w:rsid w:val="008662CD"/>
    <w:rsid w:val="008673AC"/>
    <w:rsid w:val="008B4542"/>
    <w:rsid w:val="008C0390"/>
    <w:rsid w:val="008D6E6D"/>
    <w:rsid w:val="008E2B14"/>
    <w:rsid w:val="00902CD9"/>
    <w:rsid w:val="0090334B"/>
    <w:rsid w:val="0091061C"/>
    <w:rsid w:val="00915BAF"/>
    <w:rsid w:val="00933C35"/>
    <w:rsid w:val="00936003"/>
    <w:rsid w:val="00954D64"/>
    <w:rsid w:val="0097682B"/>
    <w:rsid w:val="00976926"/>
    <w:rsid w:val="00981089"/>
    <w:rsid w:val="00987EF7"/>
    <w:rsid w:val="009960F7"/>
    <w:rsid w:val="009A5235"/>
    <w:rsid w:val="009B7424"/>
    <w:rsid w:val="009C1471"/>
    <w:rsid w:val="009C4FF7"/>
    <w:rsid w:val="009D04DB"/>
    <w:rsid w:val="00A1241D"/>
    <w:rsid w:val="00A1344F"/>
    <w:rsid w:val="00A7006D"/>
    <w:rsid w:val="00A72563"/>
    <w:rsid w:val="00A828FA"/>
    <w:rsid w:val="00A86683"/>
    <w:rsid w:val="00AA0380"/>
    <w:rsid w:val="00AC078B"/>
    <w:rsid w:val="00AC38BA"/>
    <w:rsid w:val="00AE2A86"/>
    <w:rsid w:val="00AF729F"/>
    <w:rsid w:val="00B02808"/>
    <w:rsid w:val="00B065E8"/>
    <w:rsid w:val="00B4013F"/>
    <w:rsid w:val="00B5108A"/>
    <w:rsid w:val="00B5232B"/>
    <w:rsid w:val="00B5459D"/>
    <w:rsid w:val="00B56518"/>
    <w:rsid w:val="00B61139"/>
    <w:rsid w:val="00B8201B"/>
    <w:rsid w:val="00B97ED3"/>
    <w:rsid w:val="00BA1545"/>
    <w:rsid w:val="00BA1C6F"/>
    <w:rsid w:val="00BB2107"/>
    <w:rsid w:val="00BC26B4"/>
    <w:rsid w:val="00BD3DBF"/>
    <w:rsid w:val="00BE3211"/>
    <w:rsid w:val="00BE5A4A"/>
    <w:rsid w:val="00BF2C5E"/>
    <w:rsid w:val="00C166AD"/>
    <w:rsid w:val="00C21A5A"/>
    <w:rsid w:val="00C22245"/>
    <w:rsid w:val="00C51E5B"/>
    <w:rsid w:val="00C7041F"/>
    <w:rsid w:val="00C7344F"/>
    <w:rsid w:val="00C77BAB"/>
    <w:rsid w:val="00C921ED"/>
    <w:rsid w:val="00C949B0"/>
    <w:rsid w:val="00C9597D"/>
    <w:rsid w:val="00CC0309"/>
    <w:rsid w:val="00CC3AF1"/>
    <w:rsid w:val="00CC7876"/>
    <w:rsid w:val="00CD3045"/>
    <w:rsid w:val="00CD3B26"/>
    <w:rsid w:val="00CD548C"/>
    <w:rsid w:val="00CD591B"/>
    <w:rsid w:val="00D27CCD"/>
    <w:rsid w:val="00D4758B"/>
    <w:rsid w:val="00D52D3D"/>
    <w:rsid w:val="00D648B7"/>
    <w:rsid w:val="00D776A8"/>
    <w:rsid w:val="00D86F17"/>
    <w:rsid w:val="00D9583D"/>
    <w:rsid w:val="00DA53B4"/>
    <w:rsid w:val="00DB33A4"/>
    <w:rsid w:val="00DB3416"/>
    <w:rsid w:val="00DB6263"/>
    <w:rsid w:val="00DC05FD"/>
    <w:rsid w:val="00DC6661"/>
    <w:rsid w:val="00DD51B0"/>
    <w:rsid w:val="00DE057D"/>
    <w:rsid w:val="00E0047E"/>
    <w:rsid w:val="00E10D20"/>
    <w:rsid w:val="00E359E3"/>
    <w:rsid w:val="00E35DEA"/>
    <w:rsid w:val="00E477EE"/>
    <w:rsid w:val="00E47BAC"/>
    <w:rsid w:val="00E74B42"/>
    <w:rsid w:val="00E94AFC"/>
    <w:rsid w:val="00E968C6"/>
    <w:rsid w:val="00EA2BB0"/>
    <w:rsid w:val="00EA44D1"/>
    <w:rsid w:val="00EB6306"/>
    <w:rsid w:val="00ED6CDE"/>
    <w:rsid w:val="00F018FF"/>
    <w:rsid w:val="00F03B45"/>
    <w:rsid w:val="00F04559"/>
    <w:rsid w:val="00F0507E"/>
    <w:rsid w:val="00F52238"/>
    <w:rsid w:val="00F67E29"/>
    <w:rsid w:val="00F75922"/>
    <w:rsid w:val="00F843DC"/>
    <w:rsid w:val="00FB00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0CCE87F"/>
  <w15:chartTrackingRefBased/>
  <w15:docId w15:val="{C78D6CC5-3F5F-49B4-96A6-173EAF519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94390"/>
    <w:pPr>
      <w:overflowPunct w:val="0"/>
      <w:autoSpaceDE w:val="0"/>
      <w:autoSpaceDN w:val="0"/>
      <w:adjustRightInd w:val="0"/>
      <w:spacing w:line="240" w:lineRule="atLeast"/>
      <w:ind w:firstLine="238"/>
      <w:jc w:val="both"/>
      <w:textAlignment w:val="baseline"/>
    </w:pPr>
    <w:rPr>
      <w:rFonts w:ascii="Times" w:hAnsi="Times"/>
      <w:lang w:eastAsia="de-DE"/>
    </w:rPr>
  </w:style>
  <w:style w:type="paragraph" w:styleId="1">
    <w:name w:val="heading 1"/>
    <w:basedOn w:val="a"/>
    <w:next w:val="a"/>
    <w:qFormat/>
    <w:rsid w:val="00740092"/>
    <w:pPr>
      <w:keepNext/>
      <w:spacing w:after="240"/>
      <w:outlineLvl w:val="0"/>
    </w:pPr>
    <w:rPr>
      <w:rFonts w:ascii="Arial" w:hAnsi="Arial"/>
      <w:b/>
      <w:bCs/>
      <w:sz w:val="28"/>
      <w:szCs w:val="24"/>
    </w:rPr>
  </w:style>
  <w:style w:type="paragraph" w:styleId="2">
    <w:name w:val="heading 2"/>
    <w:basedOn w:val="a"/>
    <w:next w:val="a"/>
    <w:qFormat/>
    <w:rsid w:val="00740092"/>
    <w:pPr>
      <w:keepNext/>
      <w:spacing w:before="240" w:after="120"/>
      <w:outlineLvl w:val="1"/>
    </w:pPr>
    <w:rPr>
      <w:rFonts w:ascii="Arial" w:hAnsi="Arial"/>
      <w:b/>
    </w:rPr>
  </w:style>
  <w:style w:type="paragraph" w:styleId="3">
    <w:name w:val="heading 3"/>
    <w:basedOn w:val="a"/>
    <w:next w:val="a"/>
    <w:qFormat/>
    <w:rsid w:val="00740092"/>
    <w:pPr>
      <w:keepNext/>
      <w:spacing w:before="180" w:after="120"/>
      <w:outlineLvl w:val="2"/>
    </w:pPr>
    <w:rPr>
      <w:rFonts w:ascii="Arial" w:hAnsi="Arial" w:cs="Arial"/>
      <w:b/>
      <w:bCs/>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740092"/>
    <w:pPr>
      <w:tabs>
        <w:tab w:val="center" w:pos="4536"/>
        <w:tab w:val="right" w:pos="9072"/>
      </w:tabs>
    </w:pPr>
  </w:style>
  <w:style w:type="paragraph" w:styleId="a4">
    <w:name w:val="footer"/>
    <w:basedOn w:val="a"/>
    <w:rsid w:val="00740092"/>
    <w:pPr>
      <w:tabs>
        <w:tab w:val="center" w:pos="4536"/>
        <w:tab w:val="right" w:pos="9072"/>
      </w:tabs>
    </w:pPr>
  </w:style>
  <w:style w:type="character" w:styleId="a5">
    <w:name w:val="page number"/>
    <w:rsid w:val="00740092"/>
    <w:rPr>
      <w:sz w:val="20"/>
    </w:rPr>
  </w:style>
  <w:style w:type="paragraph" w:customStyle="1" w:styleId="Runninghead-left">
    <w:name w:val="Running head - left"/>
    <w:basedOn w:val="a"/>
    <w:rsid w:val="00D52D3D"/>
    <w:pPr>
      <w:tabs>
        <w:tab w:val="left" w:pos="680"/>
        <w:tab w:val="right" w:pos="6237"/>
        <w:tab w:val="right" w:pos="6917"/>
      </w:tabs>
      <w:spacing w:after="120" w:line="200" w:lineRule="exact"/>
      <w:ind w:firstLine="0"/>
      <w:jc w:val="left"/>
    </w:pPr>
    <w:rPr>
      <w:sz w:val="17"/>
    </w:rPr>
  </w:style>
  <w:style w:type="paragraph" w:customStyle="1" w:styleId="Runninghead-right">
    <w:name w:val="Running head - right"/>
    <w:basedOn w:val="Runninghead-left"/>
    <w:rsid w:val="00740092"/>
    <w:pPr>
      <w:jc w:val="right"/>
    </w:pPr>
  </w:style>
  <w:style w:type="paragraph" w:customStyle="1" w:styleId="author">
    <w:name w:val="author"/>
    <w:basedOn w:val="a"/>
    <w:next w:val="a"/>
    <w:rsid w:val="00583E41"/>
    <w:pPr>
      <w:suppressAutoHyphens/>
      <w:spacing w:before="480" w:after="220"/>
      <w:ind w:firstLine="0"/>
      <w:jc w:val="left"/>
    </w:pPr>
    <w:rPr>
      <w:b/>
    </w:rPr>
  </w:style>
  <w:style w:type="paragraph" w:customStyle="1" w:styleId="table">
    <w:name w:val="table"/>
    <w:basedOn w:val="a"/>
    <w:rsid w:val="00D52D3D"/>
    <w:pPr>
      <w:spacing w:before="60" w:line="200" w:lineRule="atLeast"/>
      <w:ind w:firstLine="0"/>
      <w:jc w:val="left"/>
    </w:pPr>
    <w:rPr>
      <w:sz w:val="17"/>
      <w:szCs w:val="18"/>
    </w:rPr>
  </w:style>
  <w:style w:type="paragraph" w:customStyle="1" w:styleId="equation">
    <w:name w:val="equation"/>
    <w:basedOn w:val="a"/>
    <w:next w:val="a"/>
    <w:rsid w:val="00B97ED3"/>
    <w:pPr>
      <w:tabs>
        <w:tab w:val="center" w:pos="3204"/>
        <w:tab w:val="right" w:pos="6634"/>
      </w:tabs>
      <w:spacing w:before="240" w:after="240"/>
      <w:ind w:firstLine="0"/>
      <w:jc w:val="left"/>
    </w:pPr>
  </w:style>
  <w:style w:type="paragraph" w:customStyle="1" w:styleId="figlegend">
    <w:name w:val="figlegend"/>
    <w:basedOn w:val="a"/>
    <w:next w:val="a"/>
    <w:rsid w:val="00D52D3D"/>
    <w:pPr>
      <w:keepLines/>
      <w:spacing w:before="120" w:after="240" w:line="200" w:lineRule="atLeast"/>
      <w:ind w:firstLine="0"/>
    </w:pPr>
    <w:rPr>
      <w:sz w:val="17"/>
    </w:rPr>
  </w:style>
  <w:style w:type="paragraph" w:customStyle="1" w:styleId="FunotentextFootnote">
    <w:name w:val="Fußnotentext.Footnote"/>
    <w:basedOn w:val="p1a"/>
    <w:rsid w:val="00405E55"/>
    <w:pPr>
      <w:tabs>
        <w:tab w:val="left" w:pos="170"/>
      </w:tabs>
      <w:spacing w:after="40" w:line="200" w:lineRule="atLeast"/>
    </w:pPr>
    <w:rPr>
      <w:sz w:val="17"/>
    </w:rPr>
  </w:style>
  <w:style w:type="paragraph" w:customStyle="1" w:styleId="p1a">
    <w:name w:val="p1a"/>
    <w:basedOn w:val="a"/>
    <w:next w:val="a"/>
    <w:rsid w:val="00740092"/>
    <w:pPr>
      <w:ind w:firstLine="0"/>
    </w:pPr>
  </w:style>
  <w:style w:type="character" w:styleId="a6">
    <w:name w:val="footnote reference"/>
    <w:semiHidden/>
    <w:rsid w:val="00740092"/>
    <w:rPr>
      <w:position w:val="6"/>
      <w:sz w:val="12"/>
      <w:vertAlign w:val="baseline"/>
    </w:rPr>
  </w:style>
  <w:style w:type="paragraph" w:customStyle="1" w:styleId="heading1">
    <w:name w:val="heading1"/>
    <w:basedOn w:val="a"/>
    <w:next w:val="p1a"/>
    <w:rsid w:val="00005F1B"/>
    <w:pPr>
      <w:keepNext/>
      <w:keepLines/>
      <w:tabs>
        <w:tab w:val="left" w:pos="454"/>
      </w:tabs>
      <w:suppressAutoHyphens/>
      <w:spacing w:before="600" w:after="320"/>
      <w:ind w:firstLine="0"/>
      <w:jc w:val="left"/>
    </w:pPr>
    <w:rPr>
      <w:b/>
      <w:sz w:val="24"/>
    </w:rPr>
  </w:style>
  <w:style w:type="paragraph" w:customStyle="1" w:styleId="heading2">
    <w:name w:val="heading2"/>
    <w:basedOn w:val="heading1"/>
    <w:next w:val="p1a"/>
    <w:rsid w:val="00005F1B"/>
    <w:pPr>
      <w:tabs>
        <w:tab w:val="left" w:pos="510"/>
      </w:tabs>
    </w:pPr>
    <w:rPr>
      <w:i/>
    </w:rPr>
  </w:style>
  <w:style w:type="paragraph" w:customStyle="1" w:styleId="heading3">
    <w:name w:val="heading3"/>
    <w:basedOn w:val="p1a"/>
    <w:next w:val="p1a"/>
    <w:rsid w:val="00005F1B"/>
    <w:pPr>
      <w:tabs>
        <w:tab w:val="left" w:pos="284"/>
      </w:tabs>
      <w:suppressAutoHyphens/>
      <w:spacing w:before="480" w:after="240"/>
      <w:jc w:val="left"/>
    </w:pPr>
    <w:rPr>
      <w:b/>
    </w:rPr>
  </w:style>
  <w:style w:type="paragraph" w:customStyle="1" w:styleId="Subitem">
    <w:name w:val="Subitem"/>
    <w:rsid w:val="006A574A"/>
    <w:pPr>
      <w:numPr>
        <w:numId w:val="18"/>
      </w:numPr>
      <w:spacing w:after="120" w:line="240" w:lineRule="atLeast"/>
      <w:contextualSpacing/>
      <w:jc w:val="both"/>
    </w:pPr>
    <w:rPr>
      <w:rFonts w:ascii="Times" w:hAnsi="Times"/>
      <w:lang w:eastAsia="de-DE"/>
    </w:rPr>
  </w:style>
  <w:style w:type="paragraph" w:customStyle="1" w:styleId="NumberedItem">
    <w:name w:val="Numbered Item"/>
    <w:basedOn w:val="BulletItem"/>
    <w:rsid w:val="006A574A"/>
  </w:style>
  <w:style w:type="paragraph" w:customStyle="1" w:styleId="BulletItem">
    <w:name w:val="Bullet Item"/>
    <w:basedOn w:val="a"/>
    <w:rsid w:val="00EA44D1"/>
    <w:pPr>
      <w:numPr>
        <w:numId w:val="25"/>
      </w:numPr>
      <w:spacing w:before="120" w:after="120"/>
      <w:contextualSpacing/>
    </w:pPr>
  </w:style>
  <w:style w:type="paragraph" w:customStyle="1" w:styleId="petit">
    <w:name w:val="petit"/>
    <w:basedOn w:val="a"/>
    <w:rsid w:val="00D27CCD"/>
    <w:pPr>
      <w:spacing w:before="120" w:after="120" w:line="200" w:lineRule="atLeast"/>
    </w:pPr>
    <w:rPr>
      <w:sz w:val="17"/>
    </w:rPr>
  </w:style>
  <w:style w:type="paragraph" w:customStyle="1" w:styleId="reference">
    <w:name w:val="reference"/>
    <w:basedOn w:val="a"/>
    <w:rsid w:val="00D52D3D"/>
    <w:pPr>
      <w:tabs>
        <w:tab w:val="left" w:pos="340"/>
      </w:tabs>
      <w:spacing w:line="200" w:lineRule="atLeast"/>
      <w:ind w:left="238" w:hanging="238"/>
    </w:pPr>
    <w:rPr>
      <w:sz w:val="18"/>
    </w:rPr>
  </w:style>
  <w:style w:type="paragraph" w:customStyle="1" w:styleId="Important">
    <w:name w:val="Important"/>
    <w:basedOn w:val="p1a"/>
    <w:rsid w:val="008603F5"/>
    <w:pPr>
      <w:shd w:val="clear" w:color="auto" w:fill="D9D9D9"/>
      <w:spacing w:before="240" w:after="240"/>
      <w:ind w:left="238" w:right="238"/>
      <w:contextualSpacing/>
    </w:pPr>
  </w:style>
  <w:style w:type="paragraph" w:customStyle="1" w:styleId="tablelegend">
    <w:name w:val="tablelegend"/>
    <w:basedOn w:val="a"/>
    <w:next w:val="a"/>
    <w:rsid w:val="00D52D3D"/>
    <w:pPr>
      <w:keepNext/>
      <w:keepLines/>
      <w:spacing w:before="240" w:after="120" w:line="200" w:lineRule="atLeast"/>
      <w:ind w:firstLine="0"/>
    </w:pPr>
    <w:rPr>
      <w:sz w:val="17"/>
    </w:rPr>
  </w:style>
  <w:style w:type="paragraph" w:customStyle="1" w:styleId="tablenotes">
    <w:name w:val="tablenotes"/>
    <w:basedOn w:val="a"/>
    <w:next w:val="a"/>
    <w:rsid w:val="00D52D3D"/>
    <w:pPr>
      <w:widowControl w:val="0"/>
      <w:spacing w:before="20" w:line="200" w:lineRule="atLeast"/>
      <w:ind w:firstLine="0"/>
      <w:jc w:val="left"/>
    </w:pPr>
    <w:rPr>
      <w:sz w:val="17"/>
    </w:rPr>
  </w:style>
  <w:style w:type="paragraph" w:customStyle="1" w:styleId="10">
    <w:name w:val="表題1"/>
    <w:basedOn w:val="a"/>
    <w:next w:val="p1a"/>
    <w:rsid w:val="000E0820"/>
    <w:pPr>
      <w:keepNext/>
      <w:keepLines/>
      <w:pageBreakBefore/>
      <w:tabs>
        <w:tab w:val="left" w:pos="284"/>
      </w:tabs>
      <w:suppressAutoHyphens/>
      <w:spacing w:line="360" w:lineRule="atLeast"/>
      <w:ind w:firstLine="0"/>
      <w:jc w:val="left"/>
    </w:pPr>
    <w:rPr>
      <w:b/>
      <w:sz w:val="32"/>
    </w:rPr>
  </w:style>
  <w:style w:type="paragraph" w:styleId="11">
    <w:name w:val="toc 1"/>
    <w:basedOn w:val="a"/>
    <w:next w:val="petit"/>
    <w:semiHidden/>
    <w:rsid w:val="00740092"/>
    <w:pPr>
      <w:tabs>
        <w:tab w:val="right" w:leader="dot" w:pos="6634"/>
      </w:tabs>
      <w:spacing w:before="240"/>
      <w:ind w:firstLine="0"/>
      <w:jc w:val="left"/>
    </w:pPr>
    <w:rPr>
      <w:b/>
    </w:rPr>
  </w:style>
  <w:style w:type="paragraph" w:styleId="20">
    <w:name w:val="toc 2"/>
    <w:basedOn w:val="11"/>
    <w:semiHidden/>
    <w:rsid w:val="00740092"/>
    <w:pPr>
      <w:spacing w:before="0"/>
      <w:ind w:left="284"/>
    </w:pPr>
    <w:rPr>
      <w:b w:val="0"/>
    </w:rPr>
  </w:style>
  <w:style w:type="paragraph" w:styleId="30">
    <w:name w:val="toc 3"/>
    <w:basedOn w:val="11"/>
    <w:semiHidden/>
    <w:rsid w:val="00740092"/>
    <w:pPr>
      <w:spacing w:before="0"/>
      <w:ind w:left="510"/>
    </w:pPr>
    <w:rPr>
      <w:b w:val="0"/>
    </w:rPr>
  </w:style>
  <w:style w:type="paragraph" w:styleId="12">
    <w:name w:val="index 1"/>
    <w:basedOn w:val="petit"/>
    <w:semiHidden/>
    <w:rsid w:val="009960F7"/>
    <w:pPr>
      <w:spacing w:before="0" w:after="0"/>
      <w:ind w:left="720" w:hanging="720"/>
      <w:jc w:val="left"/>
    </w:pPr>
    <w:rPr>
      <w:szCs w:val="21"/>
    </w:rPr>
  </w:style>
  <w:style w:type="paragraph" w:styleId="21">
    <w:name w:val="index 2"/>
    <w:basedOn w:val="12"/>
    <w:semiHidden/>
    <w:rsid w:val="009960F7"/>
    <w:pPr>
      <w:ind w:left="958"/>
    </w:pPr>
  </w:style>
  <w:style w:type="paragraph" w:styleId="31">
    <w:name w:val="index 3"/>
    <w:basedOn w:val="a"/>
    <w:next w:val="a"/>
    <w:semiHidden/>
    <w:rsid w:val="00740092"/>
    <w:pPr>
      <w:ind w:left="660" w:hanging="220"/>
      <w:jc w:val="left"/>
    </w:pPr>
    <w:rPr>
      <w:szCs w:val="21"/>
    </w:rPr>
  </w:style>
  <w:style w:type="paragraph" w:styleId="a7">
    <w:name w:val="footnote text"/>
    <w:basedOn w:val="a"/>
    <w:semiHidden/>
    <w:rsid w:val="00740092"/>
  </w:style>
  <w:style w:type="paragraph" w:styleId="4">
    <w:name w:val="toc 4"/>
    <w:basedOn w:val="30"/>
    <w:next w:val="a"/>
    <w:semiHidden/>
    <w:rsid w:val="00772BBE"/>
    <w:pPr>
      <w:ind w:left="737"/>
    </w:pPr>
  </w:style>
  <w:style w:type="character" w:styleId="a8">
    <w:name w:val="Hyperlink"/>
    <w:rsid w:val="00740092"/>
    <w:rPr>
      <w:color w:val="0000FF"/>
      <w:u w:val="single"/>
    </w:rPr>
  </w:style>
  <w:style w:type="paragraph" w:customStyle="1" w:styleId="heading4">
    <w:name w:val="heading4"/>
    <w:basedOn w:val="p1a"/>
    <w:next w:val="p1a"/>
    <w:rsid w:val="00005F1B"/>
    <w:pPr>
      <w:keepNext/>
      <w:suppressAutoHyphens/>
      <w:spacing w:before="480" w:after="240"/>
      <w:jc w:val="left"/>
    </w:pPr>
  </w:style>
  <w:style w:type="paragraph" w:customStyle="1" w:styleId="heading5">
    <w:name w:val="heading5"/>
    <w:basedOn w:val="heading4"/>
    <w:next w:val="p1a"/>
    <w:rsid w:val="00D4758B"/>
    <w:pPr>
      <w:spacing w:before="360" w:after="120"/>
    </w:pPr>
    <w:rPr>
      <w:i/>
    </w:rPr>
  </w:style>
  <w:style w:type="paragraph" w:customStyle="1" w:styleId="13">
    <w:name w:val="副題1"/>
    <w:basedOn w:val="10"/>
    <w:next w:val="author"/>
    <w:rsid w:val="00583E41"/>
    <w:pPr>
      <w:pageBreakBefore w:val="0"/>
      <w:tabs>
        <w:tab w:val="clear" w:pos="284"/>
        <w:tab w:val="left" w:pos="567"/>
      </w:tabs>
      <w:spacing w:before="320" w:line="320" w:lineRule="atLeast"/>
    </w:pPr>
    <w:rPr>
      <w:rFonts w:cs="Arial"/>
      <w:sz w:val="28"/>
    </w:rPr>
  </w:style>
  <w:style w:type="paragraph" w:customStyle="1" w:styleId="Run-inHeading1">
    <w:name w:val="Run-in Heading 1"/>
    <w:basedOn w:val="p1a"/>
    <w:rsid w:val="00722F8A"/>
    <w:pPr>
      <w:spacing w:before="120"/>
    </w:pPr>
    <w:rPr>
      <w:b/>
    </w:rPr>
  </w:style>
  <w:style w:type="paragraph" w:customStyle="1" w:styleId="Run-inHeading2">
    <w:name w:val="Run-in Heading 2"/>
    <w:basedOn w:val="p1a"/>
    <w:rsid w:val="00722F8A"/>
    <w:pPr>
      <w:spacing w:before="120"/>
    </w:pPr>
    <w:rPr>
      <w:i/>
    </w:rPr>
  </w:style>
  <w:style w:type="paragraph" w:customStyle="1" w:styleId="affiliation">
    <w:name w:val="affiliation"/>
    <w:basedOn w:val="a"/>
    <w:next w:val="a"/>
    <w:rsid w:val="00B065E8"/>
    <w:pPr>
      <w:suppressAutoHyphens/>
      <w:spacing w:before="120" w:line="200" w:lineRule="atLeast"/>
      <w:ind w:left="238" w:firstLine="0"/>
      <w:jc w:val="left"/>
    </w:pPr>
    <w:rPr>
      <w:sz w:val="17"/>
    </w:rPr>
  </w:style>
  <w:style w:type="paragraph" w:customStyle="1" w:styleId="abstract">
    <w:name w:val="abstract"/>
    <w:basedOn w:val="a"/>
    <w:next w:val="a"/>
    <w:rsid w:val="00B61139"/>
    <w:pPr>
      <w:spacing w:before="480" w:after="480"/>
      <w:ind w:firstLine="0"/>
    </w:pPr>
  </w:style>
  <w:style w:type="paragraph" w:customStyle="1" w:styleId="quotation">
    <w:name w:val="quotation"/>
    <w:basedOn w:val="affiliation"/>
    <w:next w:val="a"/>
    <w:rsid w:val="00044A53"/>
    <w:pPr>
      <w:spacing w:after="120"/>
      <w:ind w:right="238"/>
      <w:contextualSpacing/>
    </w:pPr>
  </w:style>
  <w:style w:type="paragraph" w:customStyle="1" w:styleId="acknowledgements">
    <w:name w:val="acknowledgements"/>
    <w:basedOn w:val="affiliation"/>
    <w:next w:val="a"/>
    <w:rsid w:val="00B065E8"/>
    <w:pPr>
      <w:suppressAutoHyphens w:val="0"/>
      <w:spacing w:before="240"/>
      <w:ind w:left="0"/>
      <w:jc w:val="both"/>
    </w:pPr>
  </w:style>
  <w:style w:type="paragraph" w:customStyle="1" w:styleId="references">
    <w:name w:val="references"/>
    <w:basedOn w:val="petit"/>
    <w:rsid w:val="00D27CCD"/>
    <w:pPr>
      <w:spacing w:before="0" w:after="0"/>
      <w:ind w:left="238" w:hanging="238"/>
    </w:pPr>
  </w:style>
  <w:style w:type="paragraph" w:customStyle="1" w:styleId="figurecitation">
    <w:name w:val="figurecitation"/>
    <w:basedOn w:val="a"/>
    <w:rsid w:val="00B61139"/>
    <w:pPr>
      <w:pBdr>
        <w:top w:val="single" w:sz="8" w:space="1" w:color="auto"/>
        <w:left w:val="single" w:sz="8" w:space="4" w:color="auto"/>
        <w:bottom w:val="single" w:sz="8" w:space="1" w:color="auto"/>
        <w:right w:val="single" w:sz="8" w:space="4" w:color="auto"/>
      </w:pBdr>
    </w:pPr>
    <w:rPr>
      <w:rFonts w:ascii="Arial" w:hAnsi="Arial"/>
      <w:b/>
      <w:sz w:val="36"/>
    </w:rPr>
  </w:style>
  <w:style w:type="table" w:styleId="a9">
    <w:name w:val="Table Grid"/>
    <w:basedOn w:val="a1"/>
    <w:rsid w:val="00B8201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Web">
    <w:name w:val="Normal (Web)"/>
    <w:basedOn w:val="a"/>
    <w:rsid w:val="00AF729F"/>
    <w:rPr>
      <w:rFonts w:ascii="Times New Roman" w:hAnsi="Times New Roman"/>
      <w:sz w:val="24"/>
      <w:szCs w:val="24"/>
    </w:rPr>
  </w:style>
  <w:style w:type="paragraph" w:customStyle="1" w:styleId="Title1">
    <w:name w:val="Title1"/>
    <w:basedOn w:val="a"/>
    <w:next w:val="p1a"/>
    <w:rsid w:val="005D7409"/>
    <w:pPr>
      <w:keepNext/>
      <w:keepLines/>
      <w:pageBreakBefore/>
      <w:tabs>
        <w:tab w:val="left" w:pos="284"/>
      </w:tabs>
      <w:suppressAutoHyphens/>
      <w:spacing w:line="360" w:lineRule="atLeast"/>
      <w:ind w:firstLine="0"/>
      <w:jc w:val="left"/>
    </w:pPr>
    <w:rPr>
      <w:b/>
      <w:sz w:val="32"/>
    </w:rPr>
  </w:style>
  <w:style w:type="paragraph" w:customStyle="1" w:styleId="Subtitle1">
    <w:name w:val="Subtitle1"/>
    <w:basedOn w:val="Title1"/>
    <w:next w:val="author"/>
    <w:rsid w:val="005D7409"/>
    <w:pPr>
      <w:pageBreakBefore w:val="0"/>
      <w:tabs>
        <w:tab w:val="clear" w:pos="284"/>
        <w:tab w:val="left" w:pos="567"/>
      </w:tabs>
      <w:spacing w:before="320" w:line="320" w:lineRule="atLeast"/>
    </w:pPr>
    <w:rPr>
      <w:rFonts w:cs="Ari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Excel_Worksheet.xlsx"/></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ROT01\Application%20Data\Microsoft\Templates\T1-book.do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9EA4DB-17B2-45D7-9B9F-44451BF54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T1-book</Template>
  <TotalTime>3586</TotalTime>
  <Pages>7</Pages>
  <Words>1527</Words>
  <Characters>9256</Characters>
  <Application>Microsoft Office Word</Application>
  <DocSecurity>0</DocSecurity>
  <Lines>178</Lines>
  <Paragraphs>64</Paragraphs>
  <ScaleCrop>false</ScaleCrop>
  <HeadingPairs>
    <vt:vector size="6" baseType="variant">
      <vt:variant>
        <vt:lpstr>タイトル</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BertelsmannSpringer</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Protherough</dc:creator>
  <cp:keywords/>
  <cp:lastModifiedBy>淡路広喜</cp:lastModifiedBy>
  <cp:revision>28</cp:revision>
  <dcterms:created xsi:type="dcterms:W3CDTF">2026-03-14T05:32:00Z</dcterms:created>
  <dcterms:modified xsi:type="dcterms:W3CDTF">2026-03-22T23:48:00Z</dcterms:modified>
</cp:coreProperties>
</file>