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6ftu6bxsxvi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1yrcd4sajzv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r7mlnad1r6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Rapport du Groupe X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Calculabilité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Élève UN, Élève DEUX, Elève TROIS, Elève QUATRE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17 Janvier 2023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dllrdukvpc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Création du gestionnaire de noms de variable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Dans le cadre du projet collectif ... le groupe X se charge de la gestion de …</w:t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34utb3qze8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Fonctionnement du gestionnaire de noms de variable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Bla.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ds3utaqaojy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Conception du gestionnaire de noms de variable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Bli.</w:t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j48u3k9tlja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Défis rencontrés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problème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Blu.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problème 2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Blo.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zflvjtd7ah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Répartition du travail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Bly.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jv5izpa0n5j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Gestion de la doc et du reporting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Dans le cadre du projet collectif ... le groupe X se charge de la gestion de ...</w:t>
      </w:r>
    </w:p>
    <w:p w:rsidR="00000000" w:rsidDel="00000000" w:rsidP="00000000" w:rsidRDefault="00000000" w:rsidRPr="00000000" w14:paraId="0000003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6ldz1cxbcy4a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</w:t>
        <w:tab/>
        <w:t xml:space="preserve">Rôle de gestionnaire de la doc et du reporting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Bla.</w:t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suqmqhx55s74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</w:t>
        <w:tab/>
        <w:t xml:space="preserve">Défis rencontrés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problème 1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Blu.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problème 2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tfoykfwq4kt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</w:t>
        <w:tab/>
        <w:t xml:space="preserve">Répartition du travail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Bly.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