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dlftvrdhzy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the </w:t>
      </w:r>
      <w:r w:rsidDel="00000000" w:rsidR="00000000" w:rsidRPr="00000000">
        <w:rPr>
          <w:b w:val="1"/>
          <w:bCs w:val="1"/>
          <w:rtl w:val="0"/>
        </w:rPr>
        <w:t xml:space="preserve">MicroGoals Backend API</w:t>
      </w:r>
      <w:r w:rsidDel="00000000" w:rsidR="00000000" w:rsidRPr="00000000">
        <w:rPr>
          <w:rtl w:val="0"/>
        </w:rPr>
        <w:t xml:space="preserve"> ensures a secure, scalable, and structured system for managing user authentication and goal tracking efficiently.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vb4ja0cbxwa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 of the Solution Architecture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cca8rphy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Identify the Best Technical Solution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server-side runtime.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for building RESTful APIs.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as a NoSQL database for flexible data storage.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for secure authentication.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schema modeling and database interaction.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for API testing and validation.</w:t>
        <w:br w:type="textWrapping"/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stack ensures lightweight, fast, and scalable backend performance.</w:t>
      </w:r>
    </w:p>
    <w:p w:rsidR="00000000" w:rsidDel="00000000" w:rsidP="00000000" w:rsidRDefault="00000000" w:rsidRPr="00000000" w14:paraId="0000001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Define Structure:-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