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paragraph with a citation</w:t>
      </w:r>
      <w:r>
        <w:rPr>
          <w:rStyle w:val="FootnoteReference"/>
        </w:rPr>
        <w:footnoteReference w:id="1"/>
      </w:r>
      <w:r>
        <w:t>. And another one</w:t>
      </w:r>
      <w:r>
        <w:rPr>
          <w:rStyle w:val="FootnoteReference"/>
        </w:rPr>
        <w:footnoteReference w:id="2"/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20CE" w:rsidRDefault="00DF20CE" w:rsidP="009A67E1">
      <w:pPr>
        <w:spacing w:after="0" w:line="240" w:lineRule="auto"/>
      </w:pPr>
      <w:r>
        <w:separator/>
      </w:r>
    </w:p>
  </w:footnote>
  <w:footnote w:type="continuationSeparator" w:id="0">
    <w:p w:rsidR="00DF20CE" w:rsidRDefault="00DF20CE" w:rsidP="009A67E1"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Smith v. Jones, 123 F.3d 456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Doe v. Roe, 789 U.S. 101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