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2E8BFF"/>
          <w:sz w:val="22"/>
        </w:rPr>
        <w:t>EDUCARDX</w:t>
      </w:r>
    </w:p>
    <w:p>
      <w:pPr>
        <w:pStyle w:val="Title"/>
      </w:pPr>
      <w:r>
        <w:t>Terms &amp; Conditions</w:t>
      </w:r>
    </w:p>
    <w:tbl>
      <w:tblPr>
        <w:tblW w:type="auto" w:w="0"/>
        <w:jc w:val="center"/>
        <w:tblLayout w:type="autofit"/>
        <w:tblLook w:firstColumn="1" w:firstRow="1" w:lastColumn="0" w:lastRow="0" w:noHBand="0" w:noVBand="1" w:val="04A0"/>
      </w:tblPr>
      <w:tblGrid>
        <w:gridCol w:w="4968"/>
        <w:gridCol w:w="4968"/>
      </w:tblGrid>
      <w:tr>
        <w:tc>
          <w:tcPr>
            <w:tcW w:type="dxa" w:w="4968"/>
            <w:shd w:fill="EEF5FF"/>
            <w:vAlign w:val="center"/>
            <w:tcBorders>
              <w:top w:val="single" w:sz="4" w:color="D7DFEA"/>
              <w:left w:val="single" w:sz="4" w:color="D7DFEA"/>
              <w:bottom w:val="single" w:sz="4" w:color="D7DFEA"/>
              <w:right w:val="single" w:sz="4" w:color="D7DFEA"/>
            </w:tcBorders>
          </w:tcPr>
          <w:p>
            <w:r>
              <w:t>Document ID</w:t>
            </w:r>
          </w:p>
        </w:tc>
        <w:tc>
          <w:tcPr>
            <w:tcW w:type="dxa" w:w="4968"/>
            <w:vAlign w:val="center"/>
            <w:tcBorders>
              <w:top w:val="single" w:sz="4" w:color="D7DFEA"/>
              <w:left w:val="single" w:sz="4" w:color="D7DFEA"/>
              <w:bottom w:val="single" w:sz="4" w:color="D7DFEA"/>
              <w:right w:val="single" w:sz="4" w:color="D7DFEA"/>
            </w:tcBorders>
          </w:tcPr>
          <w:p>
            <w:r>
              <w:t>RAG-POL-001</w:t>
            </w:r>
          </w:p>
        </w:tc>
      </w:tr>
      <w:tr>
        <w:tc>
          <w:tcPr>
            <w:tcW w:type="dxa" w:w="4968"/>
            <w:shd w:fill="EEF5FF"/>
            <w:vAlign w:val="center"/>
            <w:tcBorders>
              <w:top w:val="single" w:sz="4" w:color="D7DFEA"/>
              <w:left w:val="single" w:sz="4" w:color="D7DFEA"/>
              <w:bottom w:val="single" w:sz="4" w:color="D7DFEA"/>
              <w:right w:val="single" w:sz="4" w:color="D7DFEA"/>
            </w:tcBorders>
          </w:tcPr>
          <w:p>
            <w:r>
              <w:t>Version</w:t>
            </w:r>
          </w:p>
        </w:tc>
        <w:tc>
          <w:tcPr>
            <w:tcW w:type="dxa" w:w="4968"/>
            <w:vAlign w:val="center"/>
            <w:tcBorders>
              <w:top w:val="single" w:sz="4" w:color="D7DFEA"/>
              <w:left w:val="single" w:sz="4" w:color="D7DFEA"/>
              <w:bottom w:val="single" w:sz="4" w:color="D7DFEA"/>
              <w:right w:val="single" w:sz="4" w:color="D7DFEA"/>
            </w:tcBorders>
          </w:tcPr>
          <w:p>
            <w:r>
              <w:t>1.0</w:t>
            </w:r>
          </w:p>
        </w:tc>
      </w:tr>
      <w:tr>
        <w:tc>
          <w:tcPr>
            <w:tcW w:type="dxa" w:w="4968"/>
            <w:shd w:fill="EEF5FF"/>
            <w:vAlign w:val="center"/>
            <w:tcBorders>
              <w:top w:val="single" w:sz="4" w:color="D7DFEA"/>
              <w:left w:val="single" w:sz="4" w:color="D7DFEA"/>
              <w:bottom w:val="single" w:sz="4" w:color="D7DFEA"/>
              <w:right w:val="single" w:sz="4" w:color="D7DFEA"/>
            </w:tcBorders>
          </w:tcPr>
          <w:p>
            <w:r>
              <w:t>Status</w:t>
            </w:r>
          </w:p>
        </w:tc>
        <w:tc>
          <w:tcPr>
            <w:tcW w:type="dxa" w:w="4968"/>
            <w:vAlign w:val="center"/>
            <w:tcBorders>
              <w:top w:val="single" w:sz="4" w:color="D7DFEA"/>
              <w:left w:val="single" w:sz="4" w:color="D7DFEA"/>
              <w:bottom w:val="single" w:sz="4" w:color="D7DFEA"/>
              <w:right w:val="single" w:sz="4" w:color="D7DFEA"/>
            </w:tcBorders>
          </w:tcPr>
          <w:p>
            <w:r>
              <w:t>Controlled final draft for implementation / legal sign-off</w:t>
            </w:r>
          </w:p>
        </w:tc>
      </w:tr>
    </w:tbl>
    <w:p/>
    <w:p>
      <w:pPr>
        <w:pStyle w:val="Heading1"/>
      </w:pPr>
      <w:r>
        <w:t>1. Purpose and scope</w:t>
      </w:r>
    </w:p>
    <w:p>
      <w:r>
        <w:t>These Terms &amp; Conditions govern use of the EduCardX platform and its education-focused services. The platform may provide student account features, education-oriented information, marketplace services, KYC and student-verification workflows, and technology that facilitates access to financial products offered through appropriately authorised regulated lending partners.</w:t>
      </w:r>
    </w:p>
    <w:p>
      <w:pPr>
        <w:pStyle w:val="Heading1"/>
      </w:pPr>
      <w:r>
        <w:t>2. Role of EduCardX and regulated lending partners</w:t>
      </w:r>
    </w:p>
    <w:p>
      <w:r>
        <w:t>EduCardX is a technology and service layer. Where EduCardX is appointed as a Lending Service Provider (LSP) by a regulated entity, the exact scope of EduCardX functions is limited to the activities expressly allocated under the applicable agreement and regulatory framework. A regulated lending partner remains responsible for regulated lending functions assigned to it, including decisions that the law or the lending contract reserves to the lender.</w:t>
      </w:r>
    </w:p>
    <w:p>
      <w:r>
        <w:t>EduCardX does not independently approve or reject financing applications. Eligibility, sanction, interest rate, disbursement, repayment terms and other lender-controlled decisions are determined through the authorised lending process of the relevant regulated entity.</w:t>
      </w:r>
    </w:p>
    <w:p>
      <w:pPr>
        <w:pStyle w:val="Heading1"/>
      </w:pPr>
      <w:r>
        <w:t>3. Education-focused use of platform services</w:t>
      </w:r>
    </w:p>
    <w:p>
      <w:r>
        <w:t>Certain EduCardX features are designed to support education-related spending and services. Eligibility, merchant categories, spending controls, transaction restrictions, refunds and reversals are governed by the applicable product rules and lender/payment arrangements. Users must not attempt to bypass transaction controls or use the platform for prohibited purposes.</w:t>
      </w:r>
    </w:p>
    <w:p>
      <w:pPr>
        <w:pStyle w:val="Heading1"/>
      </w:pPr>
      <w:r>
        <w:t>4. Account responsibilities</w:t>
      </w:r>
    </w:p>
    <w:p>
      <w:pPr>
        <w:pStyle w:val="ListBullet"/>
      </w:pPr>
      <w:r>
        <w:t>Users must provide information that is accurate, complete and current.</w:t>
      </w:r>
    </w:p>
    <w:p>
      <w:pPr>
        <w:pStyle w:val="ListBullet"/>
      </w:pPr>
      <w:r>
        <w:t>Users must protect authentication credentials and promptly report suspected compromise or unauthorised activity.</w:t>
      </w:r>
    </w:p>
    <w:p>
      <w:pPr>
        <w:pStyle w:val="ListBullet"/>
      </w:pPr>
      <w:r>
        <w:t>Users must use the platform only for lawful purposes and in accordance with applicable product rules.</w:t>
      </w:r>
    </w:p>
    <w:p>
      <w:pPr>
        <w:pStyle w:val="Heading1"/>
      </w:pPr>
      <w:r>
        <w:t>5. KYC, verification and documents</w:t>
      </w:r>
    </w:p>
    <w:p>
      <w:r>
        <w:t>Users may be required to complete identity, student-status and institution-verification steps. Where KYC obligations apply to a regulated entity, the applicable RBI KYC Directions and other applicable law govern the customer-identification process. EduCardX performs only the verification or technology activities allocated to it under the applicable arrangement. False, altered or misleading documents may result in suspension or referral through the applicable review process.</w:t>
      </w:r>
    </w:p>
    <w:p>
      <w:pPr>
        <w:pStyle w:val="Heading1"/>
      </w:pPr>
      <w:r>
        <w:t>6. Financing information and disclosures</w:t>
      </w:r>
    </w:p>
    <w:p>
      <w:r>
        <w:t>Where applicable, the borrower receives the prescribed Key Facts Statement (KFS) and contractual disclosures from the regulated lender. The KFS is designed to present key loan facts in understandable form and includes the prescribed APR calculation. EduCardX must not invent or display lender-controlled rates, charges, repayment schedules or approval outcomes from memory; current values must come from the lender-approved system or current approved record.</w:t>
      </w:r>
    </w:p>
    <w:p>
      <w:pPr>
        <w:pStyle w:val="Heading1"/>
      </w:pPr>
      <w:r>
        <w:t>7. Repayments, missed payments and collections</w:t>
      </w:r>
    </w:p>
    <w:p>
      <w:r>
        <w:t>Repayment obligations are governed by the loan agreement and lender-provided schedule. Users should maintain sufficient funds and follow the approved repayment method. Consequences of delay, failed payment, prepayment, refunds or collection activity depend on the applicable lender terms and law. EduCardX may provide status or reminders using authorised data, but does not rewrite contractual repayment terms.</w:t>
      </w:r>
    </w:p>
    <w:p>
      <w:pPr>
        <w:pStyle w:val="Heading1"/>
      </w:pPr>
      <w:r>
        <w:t>8. AI Mentor and predictions</w:t>
      </w:r>
    </w:p>
    <w:p>
      <w:r>
        <w:t>EduCardX may provide AI-assisted guidance and model-based predictions. AI outputs are informational and may be based on incomplete or changing information. Placement predictions are estimates, not guarantees of employment, interviews, compensation or placement. The AI Mentor does not independently make lending decisions.</w:t>
      </w:r>
    </w:p>
    <w:p>
      <w:pPr>
        <w:pStyle w:val="Heading1"/>
      </w:pPr>
      <w:r>
        <w:t>9. Intellectual property and acceptable use</w:t>
      </w:r>
    </w:p>
    <w:p>
      <w:pPr>
        <w:pStyle w:val="ListBullet"/>
      </w:pPr>
      <w:r>
        <w:t>EduCardX software, trademarks, content and product materials remain the property of EduCardX or their respective licensors.</w:t>
      </w:r>
    </w:p>
    <w:p>
      <w:pPr>
        <w:pStyle w:val="ListBullet"/>
      </w:pPr>
      <w:r>
        <w:t>Users may not reverse engineer, misuse, scrape, interfere with security controls, or use the platform to facilitate unlawful conduct.</w:t>
      </w:r>
    </w:p>
    <w:p>
      <w:pPr>
        <w:pStyle w:val="Heading1"/>
      </w:pPr>
      <w:r>
        <w:t>10. Service changes and availability</w:t>
      </w:r>
    </w:p>
    <w:p>
      <w:r>
        <w:t>EduCardX may change, suspend or improve features, subject to applicable law and contractual commitments. Time-sensitive information is not guaranteed to remain unchanged. Current policy documents and system records take precedence over outdated copies.</w:t>
      </w:r>
    </w:p>
    <w:p>
      <w:pPr>
        <w:pStyle w:val="Heading1"/>
      </w:pPr>
      <w:r>
        <w:t>11. Complaints and support</w:t>
      </w:r>
    </w:p>
    <w:p>
      <w:r>
        <w:t>Users may use the designated EduCardX support and grievance channels published in the current product interface. Where a complaint concerns a regulated financial service, the applicable lender or other responsible regulated entity grievance mechanism applies according to the relevant arrangement.</w:t>
      </w:r>
    </w:p>
    <w:p>
      <w:pPr>
        <w:pStyle w:val="Heading1"/>
      </w:pPr>
      <w:r>
        <w:t>12. Governing law</w:t>
      </w:r>
    </w:p>
    <w:p>
      <w:r>
        <w:t>These Terms shall be interpreted under the laws applicable to the services and the parties, subject to any mandatory consumer-protection, regulatory or dispute-resolution requirements.</w:t>
      </w:r>
    </w:p>
    <w:p>
      <w:pPr>
        <w:pStyle w:val="Heading1"/>
      </w:pPr>
      <w:r>
        <w:t>Regulatory / authoritative references</w:t>
      </w:r>
    </w:p>
    <w:p>
      <w:pPr>
        <w:pStyle w:val="ListBullet"/>
      </w:pPr>
      <w:r>
        <w:rPr>
          <w:b/>
        </w:rPr>
        <w:t xml:space="preserve">RBI — Reserve Bank of India (Digital Lending) Directions, 2025 / Annual Report discussion of finalised directions — </w:t>
      </w:r>
      <w:r>
        <w:t>https://www.rbi.org.in/</w:t>
      </w:r>
    </w:p>
    <w:p>
      <w:pPr>
        <w:pStyle w:val="ListBullet"/>
      </w:pPr>
      <w:r>
        <w:rPr>
          <w:b/>
        </w:rPr>
        <w:t xml:space="preserve">RBI — Reserve Bank of India (KYC) (Amendment) Directions, 2025, 12 June 2025 — </w:t>
      </w:r>
      <w:r>
        <w:t>https://www.rbi.org.in/scripts/NotificationUser.aspx?Id=12866</w:t>
      </w:r>
    </w:p>
    <w:p>
      <w:pPr>
        <w:pStyle w:val="ListBullet"/>
      </w:pPr>
      <w:r>
        <w:rPr>
          <w:b/>
        </w:rPr>
        <w:t xml:space="preserve">RBI — Key Facts Statement (KFS) framework / APR requirements — </w:t>
      </w:r>
      <w:r>
        <w:t>https://www.rbi.org.in/scripts/NotificationUser.aspx?Id=12827</w:t>
      </w:r>
    </w:p>
    <w:p>
      <w:pPr>
        <w:pStyle w:val="ListBullet"/>
      </w:pPr>
      <w:r>
        <w:rPr>
          <w:b/>
        </w:rPr>
        <w:t xml:space="preserve">MeitY — Digital Personal Data Protection Rules, 2025 — </w:t>
      </w:r>
      <w:r>
        <w:t>https://www.meity.gov.in/documents/act-and-policies/digital-personal-data-protection-rules-2025-gDOxUjMtQWa</w:t>
      </w:r>
    </w:p>
    <w:p>
      <w:r>
        <w:t>The references above support the regulatory framing used in this document. Product-specific facts, contractual allocations, fees, rates, partner identities and operational SLAs must come from the currently approved EduCardX source of truth before publication.</w:t>
      </w:r>
    </w:p>
    <w:p>
      <w:r>
        <w:t>Implementation rule: this document is authoritative only for the scope explicitly stated here. Where a product fact is not yet approved or changes over time, the AI must retrieve the latest approved structured record or document version rather than infer a value.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RAG-POL-001  |  Controlled draft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EDUCARDX | AI + RAG CONTROLLED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8B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