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2E8BFF"/>
          <w:sz w:val="22"/>
        </w:rPr>
        <w:t>EDUCARDX</w:t>
      </w:r>
    </w:p>
    <w:p>
      <w:pPr>
        <w:pStyle w:val="Title"/>
      </w:pPr>
      <w:r>
        <w:t>Privacy Policy</w:t>
      </w:r>
    </w:p>
    <w:tbl>
      <w:tblPr>
        <w:tblW w:type="auto" w:w="0"/>
        <w:jc w:val="center"/>
        <w:tblLayout w:type="autofit"/>
        <w:tblLook w:firstColumn="1" w:firstRow="1" w:lastColumn="0" w:lastRow="0" w:noHBand="0" w:noVBand="1" w:val="04A0"/>
      </w:tblPr>
      <w:tblGrid>
        <w:gridCol w:w="4968"/>
        <w:gridCol w:w="4968"/>
      </w:tblGrid>
      <w:tr>
        <w:tc>
          <w:tcPr>
            <w:tcW w:type="dxa" w:w="4968"/>
            <w:shd w:fill="EEF5FF"/>
            <w:vAlign w:val="center"/>
            <w:tcBorders>
              <w:top w:val="single" w:sz="4" w:color="D7DFEA"/>
              <w:left w:val="single" w:sz="4" w:color="D7DFEA"/>
              <w:bottom w:val="single" w:sz="4" w:color="D7DFEA"/>
              <w:right w:val="single" w:sz="4" w:color="D7DFEA"/>
            </w:tcBorders>
          </w:tcPr>
          <w:p>
            <w:r>
              <w:t>Document ID</w:t>
            </w:r>
          </w:p>
        </w:tc>
        <w:tc>
          <w:tcPr>
            <w:tcW w:type="dxa" w:w="4968"/>
            <w:vAlign w:val="center"/>
            <w:tcBorders>
              <w:top w:val="single" w:sz="4" w:color="D7DFEA"/>
              <w:left w:val="single" w:sz="4" w:color="D7DFEA"/>
              <w:bottom w:val="single" w:sz="4" w:color="D7DFEA"/>
              <w:right w:val="single" w:sz="4" w:color="D7DFEA"/>
            </w:tcBorders>
          </w:tcPr>
          <w:p>
            <w:r>
              <w:t>RAG-POL-002</w:t>
            </w:r>
          </w:p>
        </w:tc>
      </w:tr>
      <w:tr>
        <w:tc>
          <w:tcPr>
            <w:tcW w:type="dxa" w:w="4968"/>
            <w:shd w:fill="EEF5FF"/>
            <w:vAlign w:val="center"/>
            <w:tcBorders>
              <w:top w:val="single" w:sz="4" w:color="D7DFEA"/>
              <w:left w:val="single" w:sz="4" w:color="D7DFEA"/>
              <w:bottom w:val="single" w:sz="4" w:color="D7DFEA"/>
              <w:right w:val="single" w:sz="4" w:color="D7DFEA"/>
            </w:tcBorders>
          </w:tcPr>
          <w:p>
            <w:r>
              <w:t>Version</w:t>
            </w:r>
          </w:p>
        </w:tc>
        <w:tc>
          <w:tcPr>
            <w:tcW w:type="dxa" w:w="4968"/>
            <w:vAlign w:val="center"/>
            <w:tcBorders>
              <w:top w:val="single" w:sz="4" w:color="D7DFEA"/>
              <w:left w:val="single" w:sz="4" w:color="D7DFEA"/>
              <w:bottom w:val="single" w:sz="4" w:color="D7DFEA"/>
              <w:right w:val="single" w:sz="4" w:color="D7DFEA"/>
            </w:tcBorders>
          </w:tcPr>
          <w:p>
            <w:r>
              <w:t>1.0</w:t>
            </w:r>
          </w:p>
        </w:tc>
      </w:tr>
      <w:tr>
        <w:tc>
          <w:tcPr>
            <w:tcW w:type="dxa" w:w="4968"/>
            <w:shd w:fill="EEF5FF"/>
            <w:vAlign w:val="center"/>
            <w:tcBorders>
              <w:top w:val="single" w:sz="4" w:color="D7DFEA"/>
              <w:left w:val="single" w:sz="4" w:color="D7DFEA"/>
              <w:bottom w:val="single" w:sz="4" w:color="D7DFEA"/>
              <w:right w:val="single" w:sz="4" w:color="D7DFEA"/>
            </w:tcBorders>
          </w:tcPr>
          <w:p>
            <w:r>
              <w:t>Status</w:t>
            </w:r>
          </w:p>
        </w:tc>
        <w:tc>
          <w:tcPr>
            <w:tcW w:type="dxa" w:w="4968"/>
            <w:vAlign w:val="center"/>
            <w:tcBorders>
              <w:top w:val="single" w:sz="4" w:color="D7DFEA"/>
              <w:left w:val="single" w:sz="4" w:color="D7DFEA"/>
              <w:bottom w:val="single" w:sz="4" w:color="D7DFEA"/>
              <w:right w:val="single" w:sz="4" w:color="D7DFEA"/>
            </w:tcBorders>
          </w:tcPr>
          <w:p>
            <w:r>
              <w:t>Controlled final draft for implementation / legal sign-off</w:t>
            </w:r>
          </w:p>
        </w:tc>
      </w:tr>
    </w:tbl>
    <w:p/>
    <w:p>
      <w:pPr>
        <w:pStyle w:val="Heading1"/>
      </w:pPr>
      <w:r>
        <w:t>1. Privacy commitment</w:t>
      </w:r>
    </w:p>
    <w:p>
      <w:r>
        <w:t>EduCardX processes personal data for specified, lawful platform purposes and applies appropriate technical and organisational safeguards. The exact categories and purposes applicable to a user depend on the services used and the current privacy notice.</w:t>
      </w:r>
    </w:p>
    <w:p>
      <w:pPr>
        <w:pStyle w:val="Heading1"/>
      </w:pPr>
      <w:r>
        <w:t>2. Information we may collect</w:t>
      </w:r>
    </w:p>
    <w:p>
      <w:pPr>
        <w:pStyle w:val="ListBullet"/>
      </w:pPr>
      <w:r>
        <w:t>Identity and contact information such as name, email address and mobile number.</w:t>
      </w:r>
    </w:p>
    <w:p>
      <w:pPr>
        <w:pStyle w:val="ListBullet"/>
      </w:pPr>
      <w:r>
        <w:t>Student and education information such as institution, course, branch, academic year or semester and verification records.</w:t>
      </w:r>
    </w:p>
    <w:p>
      <w:pPr>
        <w:pStyle w:val="ListBullet"/>
      </w:pPr>
      <w:r>
        <w:t>KYC information and documents required for applicable verification processes.</w:t>
      </w:r>
    </w:p>
    <w:p>
      <w:pPr>
        <w:pStyle w:val="ListBullet"/>
      </w:pPr>
      <w:r>
        <w:t>Financial and account-related information necessary for services provided with authorised financial partners.</w:t>
      </w:r>
    </w:p>
    <w:p>
      <w:pPr>
        <w:pStyle w:val="ListBullet"/>
      </w:pPr>
      <w:r>
        <w:t>Transaction, repayment, application and service-status information where relevant.</w:t>
      </w:r>
    </w:p>
    <w:p>
      <w:pPr>
        <w:pStyle w:val="ListBullet"/>
      </w:pPr>
      <w:r>
        <w:t>Device, application, network, security, diagnostic and usage information needed for operation, security and service improvement.</w:t>
      </w:r>
    </w:p>
    <w:p>
      <w:pPr>
        <w:pStyle w:val="Heading1"/>
      </w:pPr>
      <w:r>
        <w:t>3. How information is used</w:t>
      </w:r>
    </w:p>
    <w:p>
      <w:pPr>
        <w:pStyle w:val="ListBullet"/>
      </w:pPr>
      <w:r>
        <w:t>Create and manage accounts and authenticate users.</w:t>
      </w:r>
    </w:p>
    <w:p>
      <w:pPr>
        <w:pStyle w:val="ListBullet"/>
      </w:pPr>
      <w:r>
        <w:t>Perform student and identity verification through authorised processes.</w:t>
      </w:r>
    </w:p>
    <w:p>
      <w:pPr>
        <w:pStyle w:val="ListBullet"/>
      </w:pPr>
      <w:r>
        <w:t>Facilitate applications and servicing for financial products provided by regulated partners.</w:t>
      </w:r>
    </w:p>
    <w:p>
      <w:pPr>
        <w:pStyle w:val="ListBullet"/>
      </w:pPr>
      <w:r>
        <w:t>Support repayments, notifications, customer service and transaction visibility.</w:t>
      </w:r>
    </w:p>
    <w:p>
      <w:pPr>
        <w:pStyle w:val="ListBullet"/>
      </w:pPr>
      <w:r>
        <w:t>Provide educational, scholarship, career and marketplace functionality.</w:t>
      </w:r>
    </w:p>
    <w:p>
      <w:pPr>
        <w:pStyle w:val="ListBullet"/>
      </w:pPr>
      <w:r>
        <w:t>Prevent fraud, unauthorised activity, abuse and security incidents.</w:t>
      </w:r>
    </w:p>
    <w:p>
      <w:pPr>
        <w:pStyle w:val="ListBullet"/>
      </w:pPr>
      <w:r>
        <w:t>Maintain records and comply with applicable legal, regulatory and contractual obligations.</w:t>
      </w:r>
    </w:p>
    <w:p>
      <w:pPr>
        <w:pStyle w:val="ListBullet"/>
      </w:pPr>
      <w:r>
        <w:t>Improve platform reliability, accessibility and product experience.</w:t>
      </w:r>
    </w:p>
    <w:p>
      <w:pPr>
        <w:pStyle w:val="Heading1"/>
      </w:pPr>
      <w:r>
        <w:t>4. Financial-service role</w:t>
      </w:r>
    </w:p>
    <w:p>
      <w:r>
        <w:t>EduCardX does not independently make lending decisions. Where financial services are provided by a regulated partner, information required for underwriting, sanction, disbursement and servicing may be processed or shared according to the applicable arrangement and law.</w:t>
      </w:r>
    </w:p>
    <w:p>
      <w:pPr>
        <w:pStyle w:val="Heading1"/>
      </w:pPr>
      <w:r>
        <w:t>5. KYC and verification</w:t>
      </w:r>
    </w:p>
    <w:p>
      <w:r>
        <w:t>KYC may involve PAN, Aadhaar where legally permitted, CKYC, DigiLocker, selfie/liveness or other identity-document verification depending on the applicable process. EduCardX shall perform only those verification and technology activities allocated under the relevant legal and contractual arrangement.</w:t>
      </w:r>
    </w:p>
    <w:p>
      <w:pPr>
        <w:pStyle w:val="Heading1"/>
      </w:pPr>
      <w:r>
        <w:t>6. Sharing and disclosures</w:t>
      </w:r>
    </w:p>
    <w:p>
      <w:r>
        <w:t>Personal data may be shared with service providers, verification providers, regulated financial partners, educational institutions or other parties where necessary for the requested service, contractual performance, security, legal compliance or another lawful purpose. Sharing should be limited to what is necessary for the stated purpose.</w:t>
      </w:r>
    </w:p>
    <w:p>
      <w:pPr>
        <w:pStyle w:val="Heading1"/>
      </w:pPr>
      <w:r>
        <w:t>7. AI, analytics and automated outputs</w:t>
      </w:r>
    </w:p>
    <w:p>
      <w:r>
        <w:t>EduCardX may use AI and machine learning for assistance, recommendations, prediction and operational analytics. Model outputs must be treated as estimates. The AI Mentor is not the system of record for financial amounts, lender decisions or policy terms.</w:t>
      </w:r>
    </w:p>
    <w:p>
      <w:pPr>
        <w:pStyle w:val="Heading1"/>
      </w:pPr>
      <w:r>
        <w:t>8. Data rights and controls</w:t>
      </w:r>
    </w:p>
    <w:p>
      <w:r>
        <w:t>Requests relating to access, correction, consent, withdrawal, deletion or other applicable rights are handled according to the data-protection framework applicable to the user and the product. Certain records may need to be retained where required by law, regulation, security, dispute resolution or contractual obligations.</w:t>
      </w:r>
    </w:p>
    <w:p>
      <w:pPr>
        <w:pStyle w:val="Heading1"/>
      </w:pPr>
      <w:r>
        <w:t>9. Security and retention</w:t>
      </w:r>
    </w:p>
    <w:p>
      <w:r>
        <w:t>EduCardX applies access controls, authentication, logging, monitoring and other safeguards appropriate to the information processed. Retention periods are purpose- and law-dependent. No fixed retention duration should be inserted into the RAG unless it matches the currently approved retention schedule.</w:t>
      </w:r>
    </w:p>
    <w:p>
      <w:pPr>
        <w:pStyle w:val="Heading1"/>
      </w:pPr>
      <w:r>
        <w:t>10. Children / minors</w:t>
      </w:r>
    </w:p>
    <w:p>
      <w:r>
        <w:t>Services involving minors, parent or guardian participation, or consent requirements must follow the age, consent and processing rules applicable to the relevant service and law.</w:t>
      </w:r>
    </w:p>
    <w:p>
      <w:pPr>
        <w:pStyle w:val="Heading1"/>
      </w:pPr>
      <w:r>
        <w:t>11. Changes to this policy</w:t>
      </w:r>
    </w:p>
    <w:p>
      <w:r>
        <w:t>The current approved version supersedes prior versions. RAG retrieval must use the latest active version with the correct effective date and status.</w:t>
      </w:r>
    </w:p>
    <w:p>
      <w:pPr>
        <w:pStyle w:val="Heading1"/>
      </w:pPr>
      <w:r>
        <w:t>Regulatory / authoritative references</w:t>
      </w:r>
    </w:p>
    <w:p>
      <w:pPr>
        <w:pStyle w:val="ListBullet"/>
      </w:pPr>
      <w:r>
        <w:rPr>
          <w:b/>
        </w:rPr>
        <w:t xml:space="preserve">RBI — Reserve Bank of India (Digital Lending) Directions, 2025 / Annual Report discussion of finalised directions — </w:t>
      </w:r>
      <w:r>
        <w:t>https://www.rbi.org.in/</w:t>
      </w:r>
    </w:p>
    <w:p>
      <w:pPr>
        <w:pStyle w:val="ListBullet"/>
      </w:pPr>
      <w:r>
        <w:rPr>
          <w:b/>
        </w:rPr>
        <w:t xml:space="preserve">RBI — Reserve Bank of India (KYC) (Amendment) Directions, 2025, 12 June 2025 — </w:t>
      </w:r>
      <w:r>
        <w:t>https://www.rbi.org.in/scripts/NotificationUser.aspx?Id=12866</w:t>
      </w:r>
    </w:p>
    <w:p>
      <w:pPr>
        <w:pStyle w:val="ListBullet"/>
      </w:pPr>
      <w:r>
        <w:rPr>
          <w:b/>
        </w:rPr>
        <w:t xml:space="preserve">RBI — Key Facts Statement (KFS) framework / APR requirements — </w:t>
      </w:r>
      <w:r>
        <w:t>https://www.rbi.org.in/scripts/NotificationUser.aspx?Id=12827</w:t>
      </w:r>
    </w:p>
    <w:p>
      <w:pPr>
        <w:pStyle w:val="ListBullet"/>
      </w:pPr>
      <w:r>
        <w:rPr>
          <w:b/>
        </w:rPr>
        <w:t xml:space="preserve">MeitY — Digital Personal Data Protection Rules, 2025 — </w:t>
      </w:r>
      <w:r>
        <w:t>https://www.meity.gov.in/documents/act-and-policies/digital-personal-data-protection-rules-2025-gDOxUjMtQWa</w:t>
      </w:r>
    </w:p>
    <w:p>
      <w:r>
        <w:t>The references above support the regulatory framing used in this document. Product-specific facts, contractual allocations, fees, rates, partner identities and operational SLAs must come from the currently approved EduCardX source of truth before publication.</w:t>
      </w:r>
    </w:p>
    <w:p>
      <w:r>
        <w:t>Implementation rule: this document is authoritative only for the scope explicitly stated here. Where a product fact is not yet approved or changes over time, the AI must retrieve the latest approved structured record or document version rather than infer a value.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RAG-POL-002  |  Controlled draft — 04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EDUCARDX | AI + RAG CONTROLLED KNOWLEDGE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732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8B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1F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F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