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2E8BFF"/>
          <w:sz w:val="22"/>
        </w:rPr>
        <w:t>EDUCARDX</w:t>
      </w:r>
    </w:p>
    <w:p>
      <w:pPr>
        <w:pStyle w:val="Title"/>
      </w:pPr>
      <w:r>
        <w:t>Financing Explanation Guide</w:t>
      </w:r>
    </w:p>
    <w:tbl>
      <w:tblPr>
        <w:tblW w:type="auto" w:w="0"/>
        <w:jc w:val="center"/>
        <w:tblLayout w:type="autofit"/>
        <w:tblLook w:firstColumn="1" w:firstRow="1" w:lastColumn="0" w:lastRow="0" w:noHBand="0" w:noVBand="1" w:val="04A0"/>
      </w:tblPr>
      <w:tblGrid>
        <w:gridCol w:w="4968"/>
        <w:gridCol w:w="4968"/>
      </w:tblGrid>
      <w:tr>
        <w:tc>
          <w:tcPr>
            <w:tcW w:type="dxa" w:w="4968"/>
            <w:shd w:fill="EEF5FF"/>
            <w:vAlign w:val="center"/>
            <w:tcBorders>
              <w:top w:val="single" w:sz="4" w:color="D7DFEA"/>
              <w:left w:val="single" w:sz="4" w:color="D7DFEA"/>
              <w:bottom w:val="single" w:sz="4" w:color="D7DFEA"/>
              <w:right w:val="single" w:sz="4" w:color="D7DFEA"/>
            </w:tcBorders>
          </w:tcPr>
          <w:p>
            <w:r>
              <w:t>Document ID</w:t>
            </w:r>
          </w:p>
        </w:tc>
        <w:tc>
          <w:tcPr>
            <w:tcW w:type="dxa" w:w="4968"/>
            <w:vAlign w:val="center"/>
            <w:tcBorders>
              <w:top w:val="single" w:sz="4" w:color="D7DFEA"/>
              <w:left w:val="single" w:sz="4" w:color="D7DFEA"/>
              <w:bottom w:val="single" w:sz="4" w:color="D7DFEA"/>
              <w:right w:val="single" w:sz="4" w:color="D7DFEA"/>
            </w:tcBorders>
          </w:tcPr>
          <w:p>
            <w:r>
              <w:t>RAG-FIN-004</w:t>
            </w:r>
          </w:p>
        </w:tc>
      </w:tr>
      <w:tr>
        <w:tc>
          <w:tcPr>
            <w:tcW w:type="dxa" w:w="4968"/>
            <w:shd w:fill="EEF5FF"/>
            <w:vAlign w:val="center"/>
            <w:tcBorders>
              <w:top w:val="single" w:sz="4" w:color="D7DFEA"/>
              <w:left w:val="single" w:sz="4" w:color="D7DFEA"/>
              <w:bottom w:val="single" w:sz="4" w:color="D7DFEA"/>
              <w:right w:val="single" w:sz="4" w:color="D7DFEA"/>
            </w:tcBorders>
          </w:tcPr>
          <w:p>
            <w:r>
              <w:t>Version</w:t>
            </w:r>
          </w:p>
        </w:tc>
        <w:tc>
          <w:tcPr>
            <w:tcW w:type="dxa" w:w="4968"/>
            <w:vAlign w:val="center"/>
            <w:tcBorders>
              <w:top w:val="single" w:sz="4" w:color="D7DFEA"/>
              <w:left w:val="single" w:sz="4" w:color="D7DFEA"/>
              <w:bottom w:val="single" w:sz="4" w:color="D7DFEA"/>
              <w:right w:val="single" w:sz="4" w:color="D7DFEA"/>
            </w:tcBorders>
          </w:tcPr>
          <w:p>
            <w:r>
              <w:t>1.0</w:t>
            </w:r>
          </w:p>
        </w:tc>
      </w:tr>
      <w:tr>
        <w:tc>
          <w:tcPr>
            <w:tcW w:type="dxa" w:w="4968"/>
            <w:shd w:fill="EEF5FF"/>
            <w:vAlign w:val="center"/>
            <w:tcBorders>
              <w:top w:val="single" w:sz="4" w:color="D7DFEA"/>
              <w:left w:val="single" w:sz="4" w:color="D7DFEA"/>
              <w:bottom w:val="single" w:sz="4" w:color="D7DFEA"/>
              <w:right w:val="single" w:sz="4" w:color="D7DFEA"/>
            </w:tcBorders>
          </w:tcPr>
          <w:p>
            <w:r>
              <w:t>Status</w:t>
            </w:r>
          </w:p>
        </w:tc>
        <w:tc>
          <w:tcPr>
            <w:tcW w:type="dxa" w:w="4968"/>
            <w:vAlign w:val="center"/>
            <w:tcBorders>
              <w:top w:val="single" w:sz="4" w:color="D7DFEA"/>
              <w:left w:val="single" w:sz="4" w:color="D7DFEA"/>
              <w:bottom w:val="single" w:sz="4" w:color="D7DFEA"/>
              <w:right w:val="single" w:sz="4" w:color="D7DFEA"/>
            </w:tcBorders>
          </w:tcPr>
          <w:p>
            <w:r>
              <w:t>Controlled final draft for implementation / legal sign-off</w:t>
            </w:r>
          </w:p>
        </w:tc>
      </w:tr>
    </w:tbl>
    <w:p/>
    <w:p>
      <w:pPr>
        <w:pStyle w:val="Heading1"/>
      </w:pPr>
      <w:r>
        <w:t>1. What EduCardX financing means</w:t>
      </w:r>
    </w:p>
    <w:p>
      <w:r>
        <w:t>EduCardX may facilitate access to education-related credit products offered by regulated lending partners. The platform can present information and technology workflows, but the relevant lender controls the regulated credit decision and contractual loan terms.</w:t>
      </w:r>
    </w:p>
    <w:p>
      <w:pPr>
        <w:pStyle w:val="Heading1"/>
      </w:pPr>
      <w:r>
        <w:t>2. What determines the offer</w:t>
      </w:r>
    </w:p>
    <w:p>
      <w:pPr>
        <w:pStyle w:val="ListBullet"/>
      </w:pPr>
      <w:r>
        <w:t>The regulated lender applies its approved underwriting and eligibility processes.</w:t>
      </w:r>
    </w:p>
    <w:p>
      <w:pPr>
        <w:pStyle w:val="ListBullet"/>
      </w:pPr>
      <w:r>
        <w:t>Available offers, where more than one lender is willing to lend, should be displayed using the current approved offer data.</w:t>
      </w:r>
    </w:p>
    <w:p>
      <w:pPr>
        <w:pStyle w:val="ListBullet"/>
      </w:pPr>
      <w:r>
        <w:t>The AI Mentor may explain an offer but must never fabricate lender name, interest rate, APR, fees, tenure, EMI or approval status.</w:t>
      </w:r>
    </w:p>
    <w:p>
      <w:pPr>
        <w:pStyle w:val="Heading1"/>
      </w:pPr>
      <w:r>
        <w:t>3. KFS and APR</w:t>
      </w:r>
    </w:p>
    <w:p>
      <w:r>
        <w:t>Where applicable, the borrower receives a Key Facts Statement from the regulated entity before entering the loan contract. RBI guidance describes KFS as a standardised statement of key facts in understandable language. APR represents the annual cost of credit and includes the interest rate and applicable charges associated with the credit facility. The current lender-issued KFS and loan agreement are the source of truth for the specific loan.</w:t>
      </w:r>
    </w:p>
    <w:p>
      <w:pPr>
        <w:pStyle w:val="Heading1"/>
      </w:pPr>
      <w:r>
        <w:t>4. EMI basics</w:t>
      </w:r>
    </w:p>
    <w:p>
      <w:r>
        <w:t>For a standard reducing-balance loan with a positive fixed monthly rate, the mathematical EMI is commonly calculated as: EMI = P × r × (1+r)^n / ((1+r)^n − 1), where P is principal, r is monthly interest rate and n is number of monthly instalments. For zero-interest financing, EMI = P / n. Production product calculations must use the lender-approved calculation and must be treated as authoritative over client-side estimates.</w:t>
      </w:r>
    </w:p>
    <w:p>
      <w:pPr>
        <w:pStyle w:val="Heading1"/>
      </w:pPr>
      <w:r>
        <w:t>5. Example — explanatory only</w:t>
      </w:r>
    </w:p>
    <w:p>
      <w:r>
        <w:t>Example for education only: principal ₹60,000, annual nominal interest 12%, tenure 6 months. A reducing-balance formula gives an illustrative EMI of about ₹10,354.87 and total repayment of about ₹62,129.22. This example is not an EduCardX offer and must not be displayed as a live product term.</w:t>
      </w:r>
    </w:p>
    <w:p>
      <w:pPr>
        <w:pStyle w:val="Heading1"/>
      </w:pPr>
      <w:r>
        <w:t>6. Offer presentation rules</w:t>
      </w:r>
    </w:p>
    <w:p>
      <w:pPr>
        <w:pStyle w:val="ListBullet"/>
      </w:pPr>
      <w:r>
        <w:t>Use current structured lender-offer data.</w:t>
      </w:r>
    </w:p>
    <w:p>
      <w:pPr>
        <w:pStyle w:val="ListBullet"/>
      </w:pPr>
      <w:r>
        <w:t>Show lender identity, applicable loan amount, APR, tenure and relevant terms where required.</w:t>
      </w:r>
    </w:p>
    <w:p>
      <w:pPr>
        <w:pStyle w:val="ListBullet"/>
      </w:pPr>
      <w:r>
        <w:t>Do not use dark patterns or wording intended to pressure a borrower into a particular offer.</w:t>
      </w:r>
    </w:p>
    <w:p>
      <w:pPr>
        <w:pStyle w:val="ListBullet"/>
      </w:pPr>
      <w:r>
        <w:t>Do not state that EduCardX approved the loan unless an approved lender record expressly supports such a statement.</w:t>
      </w:r>
    </w:p>
    <w:p>
      <w:pPr>
        <w:pStyle w:val="Heading1"/>
      </w:pPr>
      <w:r>
        <w:t>7. Affordability guidance</w:t>
      </w:r>
    </w:p>
    <w:p>
      <w:r>
        <w:t>Affordability guidance should consider verified financial information and current financing terms. A conversational assistant may help the student compare an expense with available repayment capacity, but the underlying values must come from tools or authorised records.</w:t>
      </w:r>
    </w:p>
    <w:p>
      <w:pPr>
        <w:pStyle w:val="Heading1"/>
      </w:pPr>
      <w:r>
        <w:t>Regulatory / authoritative references</w:t>
      </w:r>
    </w:p>
    <w:p>
      <w:pPr>
        <w:pStyle w:val="ListBullet"/>
      </w:pPr>
      <w:r>
        <w:rPr>
          <w:b/>
        </w:rPr>
        <w:t xml:space="preserve">RBI — Reserve Bank of India (Digital Lending) Directions, 2025 / Annual Report discussion of finalised directions — </w:t>
      </w:r>
      <w:r>
        <w:t>https://www.rbi.org.in/</w:t>
      </w:r>
    </w:p>
    <w:p>
      <w:pPr>
        <w:pStyle w:val="ListBullet"/>
      </w:pPr>
      <w:r>
        <w:rPr>
          <w:b/>
        </w:rPr>
        <w:t xml:space="preserve">RBI — Reserve Bank of India (KYC) (Amendment) Directions, 2025, 12 June 2025 — </w:t>
      </w:r>
      <w:r>
        <w:t>https://www.rbi.org.in/scripts/NotificationUser.aspx?Id=12866</w:t>
      </w:r>
    </w:p>
    <w:p>
      <w:pPr>
        <w:pStyle w:val="ListBullet"/>
      </w:pPr>
      <w:r>
        <w:rPr>
          <w:b/>
        </w:rPr>
        <w:t xml:space="preserve">RBI — Key Facts Statement (KFS) framework / APR requirements — </w:t>
      </w:r>
      <w:r>
        <w:t>https://www.rbi.org.in/scripts/NotificationUser.aspx?Id=12827</w:t>
      </w:r>
    </w:p>
    <w:p>
      <w:pPr>
        <w:pStyle w:val="ListBullet"/>
      </w:pPr>
      <w:r>
        <w:rPr>
          <w:b/>
        </w:rPr>
        <w:t xml:space="preserve">MeitY — Digital Personal Data Protection Rules, 2025 — </w:t>
      </w:r>
      <w:r>
        <w:t>https://www.meity.gov.in/documents/act-and-policies/digital-personal-data-protection-rules-2025-gDOxUjMtQWa</w:t>
      </w:r>
    </w:p>
    <w:p>
      <w:r>
        <w:t>The references above support the regulatory framing used in this document. Product-specific facts, contractual allocations, fees, rates, partner identities and operational SLAs must come from the currently approved EduCardX source of truth before publication.</w:t>
      </w:r>
    </w:p>
    <w:p>
      <w:r>
        <w:t>Implementation rule: this document is authoritative only for the scope explicitly stated here. Where a product fact is not yet approved or changes over time, the AI must retrieve the latest approved structured record or document version rather than infer a value.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RAG-FIN-004  |  Controlled draft — 04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EDUCARDX | AI + RAG CONTROLLED KNOWLEDGE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2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8B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