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E8BFF"/>
          <w:sz w:val="22"/>
        </w:rPr>
        <w:t>EDUCARDX</w:t>
      </w:r>
    </w:p>
    <w:p>
      <w:pPr>
        <w:pStyle w:val="Title"/>
      </w:pPr>
      <w:r>
        <w:t>Repayment Policy</w:t>
      </w:r>
    </w:p>
    <w:tbl>
      <w:tblPr>
        <w:tblW w:type="auto" w:w="0"/>
        <w:jc w:val="center"/>
        <w:tblLayout w:type="autofit"/>
        <w:tblLook w:firstColumn="1" w:firstRow="1" w:lastColumn="0" w:lastRow="0" w:noHBand="0" w:noVBand="1" w:val="04A0"/>
      </w:tblPr>
      <w:tblGrid>
        <w:gridCol w:w="4968"/>
        <w:gridCol w:w="4968"/>
      </w:tblGrid>
      <w:tr>
        <w:tc>
          <w:tcPr>
            <w:tcW w:type="dxa" w:w="4968"/>
            <w:shd w:fill="EEF5FF"/>
            <w:vAlign w:val="center"/>
            <w:tcBorders>
              <w:top w:val="single" w:sz="4" w:color="D7DFEA"/>
              <w:left w:val="single" w:sz="4" w:color="D7DFEA"/>
              <w:bottom w:val="single" w:sz="4" w:color="D7DFEA"/>
              <w:right w:val="single" w:sz="4" w:color="D7DFEA"/>
            </w:tcBorders>
          </w:tcPr>
          <w:p>
            <w:r>
              <w:t>Document ID</w:t>
            </w:r>
          </w:p>
        </w:tc>
        <w:tc>
          <w:tcPr>
            <w:tcW w:type="dxa" w:w="4968"/>
            <w:vAlign w:val="center"/>
            <w:tcBorders>
              <w:top w:val="single" w:sz="4" w:color="D7DFEA"/>
              <w:left w:val="single" w:sz="4" w:color="D7DFEA"/>
              <w:bottom w:val="single" w:sz="4" w:color="D7DFEA"/>
              <w:right w:val="single" w:sz="4" w:color="D7DFEA"/>
            </w:tcBorders>
          </w:tcPr>
          <w:p>
            <w:r>
              <w:t>RAG-REP-005</w:t>
            </w:r>
          </w:p>
        </w:tc>
      </w:tr>
      <w:tr>
        <w:tc>
          <w:tcPr>
            <w:tcW w:type="dxa" w:w="4968"/>
            <w:shd w:fill="EEF5FF"/>
            <w:vAlign w:val="center"/>
            <w:tcBorders>
              <w:top w:val="single" w:sz="4" w:color="D7DFEA"/>
              <w:left w:val="single" w:sz="4" w:color="D7DFEA"/>
              <w:bottom w:val="single" w:sz="4" w:color="D7DFEA"/>
              <w:right w:val="single" w:sz="4" w:color="D7DFEA"/>
            </w:tcBorders>
          </w:tcPr>
          <w:p>
            <w:r>
              <w:t>Version</w:t>
            </w:r>
          </w:p>
        </w:tc>
        <w:tc>
          <w:tcPr>
            <w:tcW w:type="dxa" w:w="4968"/>
            <w:vAlign w:val="center"/>
            <w:tcBorders>
              <w:top w:val="single" w:sz="4" w:color="D7DFEA"/>
              <w:left w:val="single" w:sz="4" w:color="D7DFEA"/>
              <w:bottom w:val="single" w:sz="4" w:color="D7DFEA"/>
              <w:right w:val="single" w:sz="4" w:color="D7DFEA"/>
            </w:tcBorders>
          </w:tcPr>
          <w:p>
            <w:r>
              <w:t>1.0</w:t>
            </w:r>
          </w:p>
        </w:tc>
      </w:tr>
      <w:tr>
        <w:tc>
          <w:tcPr>
            <w:tcW w:type="dxa" w:w="4968"/>
            <w:shd w:fill="EEF5FF"/>
            <w:vAlign w:val="center"/>
            <w:tcBorders>
              <w:top w:val="single" w:sz="4" w:color="D7DFEA"/>
              <w:left w:val="single" w:sz="4" w:color="D7DFEA"/>
              <w:bottom w:val="single" w:sz="4" w:color="D7DFEA"/>
              <w:right w:val="single" w:sz="4" w:color="D7DFEA"/>
            </w:tcBorders>
          </w:tcPr>
          <w:p>
            <w:r>
              <w:t>Status</w:t>
            </w:r>
          </w:p>
        </w:tc>
        <w:tc>
          <w:tcPr>
            <w:tcW w:type="dxa" w:w="4968"/>
            <w:vAlign w:val="center"/>
            <w:tcBorders>
              <w:top w:val="single" w:sz="4" w:color="D7DFEA"/>
              <w:left w:val="single" w:sz="4" w:color="D7DFEA"/>
              <w:bottom w:val="single" w:sz="4" w:color="D7DFEA"/>
              <w:right w:val="single" w:sz="4" w:color="D7DFEA"/>
            </w:tcBorders>
          </w:tcPr>
          <w:p>
            <w:r>
              <w:t>Controlled final draft for implementation / legal sign-off</w:t>
            </w:r>
          </w:p>
        </w:tc>
      </w:tr>
    </w:tbl>
    <w:p/>
    <w:p>
      <w:pPr>
        <w:pStyle w:val="Heading1"/>
      </w:pPr>
      <w:r>
        <w:t>1. Scope</w:t>
      </w:r>
    </w:p>
    <w:p>
      <w:r>
        <w:t>This policy explains how EduCardX should describe repayment information while preserving the lender’s contractual terms as the source of truth.</w:t>
      </w:r>
    </w:p>
    <w:p>
      <w:pPr>
        <w:pStyle w:val="Heading1"/>
      </w:pPr>
      <w:r>
        <w:t>2. Repayment schedule</w:t>
      </w:r>
    </w:p>
    <w:p>
      <w:r>
        <w:t>The applicable loan schedule, due dates, instalment amounts, interest and charges are provided by the regulated lender or its authorised servicing system. The AI Mentor must retrieve current repayment data rather than reconstructing a schedule from memory.</w:t>
      </w:r>
    </w:p>
    <w:p>
      <w:pPr>
        <w:pStyle w:val="Heading1"/>
      </w:pPr>
      <w:r>
        <w:t>3. Payment status</w:t>
      </w:r>
    </w:p>
    <w:p>
      <w:pPr>
        <w:pStyle w:val="ListBullet"/>
      </w:pPr>
      <w:r>
        <w:t>Upcoming — a scheduled payment exists and is not yet due.</w:t>
      </w:r>
    </w:p>
    <w:p>
      <w:pPr>
        <w:pStyle w:val="ListBullet"/>
      </w:pPr>
      <w:r>
        <w:t>Due — the payment date has arrived and payment is expected.</w:t>
      </w:r>
    </w:p>
    <w:p>
      <w:pPr>
        <w:pStyle w:val="ListBullet"/>
      </w:pPr>
      <w:r>
        <w:t>Paid — the authorised system records successful settlement.</w:t>
      </w:r>
    </w:p>
    <w:p>
      <w:pPr>
        <w:pStyle w:val="ListBullet"/>
      </w:pPr>
      <w:r>
        <w:t>Pending — a payment attempt or reconciliation is still processing.</w:t>
      </w:r>
    </w:p>
    <w:p>
      <w:pPr>
        <w:pStyle w:val="ListBullet"/>
      </w:pPr>
      <w:r>
        <w:t>Failed — an attempted payment did not complete.</w:t>
      </w:r>
    </w:p>
    <w:p>
      <w:pPr>
        <w:pStyle w:val="ListBullet"/>
      </w:pPr>
      <w:r>
        <w:t>Overdue — the payment remains unpaid after its contractual due date.</w:t>
      </w:r>
    </w:p>
    <w:p>
      <w:pPr>
        <w:pStyle w:val="ListBullet"/>
      </w:pPr>
      <w:r>
        <w:t>Reversed / refunded — a prior transaction was subsequently reversed according to the servicing/payment record.</w:t>
      </w:r>
    </w:p>
    <w:p>
      <w:pPr>
        <w:pStyle w:val="Heading1"/>
      </w:pPr>
      <w:r>
        <w:t>4. Missed payments</w:t>
      </w:r>
    </w:p>
    <w:p>
      <w:r>
        <w:t>Consequences of missed or late payments depend on the applicable lender agreement and law. EduCardX should not invent penalty amounts, grace periods or collection timelines. Current lender records and approved policy content must be used.</w:t>
      </w:r>
    </w:p>
    <w:p>
      <w:pPr>
        <w:pStyle w:val="Heading1"/>
      </w:pPr>
      <w:r>
        <w:t>5. Prepayment and closure</w:t>
      </w:r>
    </w:p>
    <w:p>
      <w:r>
        <w:t>Prepayment, foreclosure, early closure and related charges are governed by the applicable loan terms and current regulatory requirements. The user should be shown the approved lender-specific amount and process when available.</w:t>
      </w:r>
    </w:p>
    <w:p>
      <w:pPr>
        <w:pStyle w:val="Heading1"/>
      </w:pPr>
      <w:r>
        <w:t>6. Payment failures</w:t>
      </w:r>
    </w:p>
    <w:p>
      <w:r>
        <w:t>When a payment fails, the system should provide the current status, safe next step and support route. It should not claim successful repayment until the authorised transaction/servicing system confirms settlement.</w:t>
      </w:r>
    </w:p>
    <w:p>
      <w:pPr>
        <w:pStyle w:val="Heading1"/>
      </w:pPr>
      <w:r>
        <w:t>7. Receipts and records</w:t>
      </w:r>
    </w:p>
    <w:p>
      <w:r>
        <w:t>Users should receive or be able to access the applicable payment confirmation or receipt from the authorised system. Internal reconciliation and ledger state must not be replaced by a conversational response.</w:t>
      </w:r>
    </w:p>
    <w:p>
      <w:pPr>
        <w:pStyle w:val="Heading1"/>
      </w:pPr>
      <w:r>
        <w:t>8. AI behaviour</w:t>
      </w:r>
    </w:p>
    <w:p>
      <w:pPr>
        <w:pStyle w:val="ListBullet"/>
      </w:pPr>
      <w:r>
        <w:t>Use getRepaymentStatus() or an equivalent backend tool for live status.</w:t>
      </w:r>
    </w:p>
    <w:p>
      <w:pPr>
        <w:pStyle w:val="ListBullet"/>
      </w:pPr>
      <w:r>
        <w:t>Use the lender-approved repayment schedule for due amounts.</w:t>
      </w:r>
    </w:p>
    <w:p>
      <w:pPr>
        <w:pStyle w:val="ListBullet"/>
      </w:pPr>
      <w:r>
        <w:t>Never guess a missed-payment consequence.</w:t>
      </w:r>
    </w:p>
    <w:p>
      <w:pPr>
        <w:pStyle w:val="ListBullet"/>
      </w:pPr>
      <w:r>
        <w:t>Escalate disputes about contractual amounts to the designated servicing/grievance path.</w:t>
      </w:r>
    </w:p>
    <w:p>
      <w:pPr>
        <w:pStyle w:val="Heading1"/>
      </w:pPr>
      <w:r>
        <w:t>Regulatory / authoritative references</w:t>
      </w:r>
    </w:p>
    <w:p>
      <w:pPr>
        <w:pStyle w:val="ListBullet"/>
      </w:pPr>
      <w:r>
        <w:rPr>
          <w:b/>
        </w:rPr>
        <w:t xml:space="preserve">RBI — Reserve Bank of India (Digital Lending) Directions, 2025 / Annual Report discussion of finalised directions — </w:t>
      </w:r>
      <w:r>
        <w:t>https://www.rbi.org.in/</w:t>
      </w:r>
    </w:p>
    <w:p>
      <w:pPr>
        <w:pStyle w:val="ListBullet"/>
      </w:pPr>
      <w:r>
        <w:rPr>
          <w:b/>
        </w:rPr>
        <w:t xml:space="preserve">RBI — Reserve Bank of India (KYC) (Amendment) Directions, 2025, 12 June 2025 — </w:t>
      </w:r>
      <w:r>
        <w:t>https://www.rbi.org.in/scripts/NotificationUser.aspx?Id=12866</w:t>
      </w:r>
    </w:p>
    <w:p>
      <w:pPr>
        <w:pStyle w:val="ListBullet"/>
      </w:pPr>
      <w:r>
        <w:rPr>
          <w:b/>
        </w:rPr>
        <w:t xml:space="preserve">RBI — Key Facts Statement (KFS) framework / APR requirements — </w:t>
      </w:r>
      <w:r>
        <w:t>https://www.rbi.org.in/scripts/NotificationUser.aspx?Id=12827</w:t>
      </w:r>
    </w:p>
    <w:p>
      <w:pPr>
        <w:pStyle w:val="ListBullet"/>
      </w:pPr>
      <w:r>
        <w:rPr>
          <w:b/>
        </w:rPr>
        <w:t xml:space="preserve">MeitY — Digital Personal Data Protection Rules, 2025 — </w:t>
      </w:r>
      <w:r>
        <w:t>https://www.meity.gov.in/documents/act-and-policies/digital-personal-data-protection-rules-2025-gDOxUjMtQWa</w:t>
      </w:r>
    </w:p>
    <w:p>
      <w:r>
        <w:t>The references above support the regulatory framing used in this document. Product-specific facts, contractual allocations, fees, rates, partner identities and operational SLAs must come from the currently approved EduCardX source of truth before publication.</w:t>
      </w:r>
    </w:p>
    <w:p>
      <w:r>
        <w:t>Implementation rule: this document is authoritative only for the scope explicitly stated here. Where a product fact is not yet approved or changes over time, the AI must retrieve the latest approved structured record or document version rather than infer a value.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RAG-REP-005  |  Controlled draft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EDUCARDX | AI + RAG CONTROLLED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8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