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E8BFF"/>
          <w:sz w:val="22"/>
        </w:rPr>
        <w:t>EDUCARDX</w:t>
      </w:r>
    </w:p>
    <w:p>
      <w:pPr>
        <w:pStyle w:val="Title"/>
      </w:pPr>
      <w:r>
        <w:t>Frequently Asked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Document ID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RAG-GEN-006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Version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1.0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Status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Controlled final draft for implementation / legal sign-off</w:t>
            </w:r>
          </w:p>
        </w:tc>
      </w:tr>
    </w:tbl>
    <w:p/>
    <w:p>
      <w:pPr>
        <w:pStyle w:val="Heading2"/>
      </w:pPr>
      <w:r>
        <w:t>What is EduCardX?</w:t>
      </w:r>
    </w:p>
    <w:p>
      <w:r>
        <w:t>EduCardX is an education-focused technology platform intended to help students access and manage education-related services and, where applicable, financing provided by regulated lending partners.</w:t>
      </w:r>
    </w:p>
    <w:p>
      <w:pPr>
        <w:pStyle w:val="Heading2"/>
      </w:pPr>
      <w:r>
        <w:t>Does EduCardX approve loans?</w:t>
      </w:r>
    </w:p>
    <w:p>
      <w:r>
        <w:t>No. EduCardX does not independently approve or reject financing applications. The authorised lender’s process determines the lending decision.</w:t>
      </w:r>
    </w:p>
    <w:p>
      <w:pPr>
        <w:pStyle w:val="Heading2"/>
      </w:pPr>
      <w:r>
        <w:t>Who provides the loan?</w:t>
      </w:r>
    </w:p>
    <w:p>
      <w:r>
        <w:t>Where financing is available, the applicable regulated lender or lending partners shown in the current approved offer data provide the financial product. Do not infer a partner name from memory.</w:t>
      </w:r>
    </w:p>
    <w:p>
      <w:pPr>
        <w:pStyle w:val="Heading2"/>
      </w:pPr>
      <w:r>
        <w:t>What is a KFS?</w:t>
      </w:r>
    </w:p>
    <w:p>
      <w:r>
        <w:t>A Key Facts Statement is a standardised summary of key loan facts intended to help a borrower understand the credit product before entering the contract. The lender-issued KFS is authoritative for the specific loan.</w:t>
      </w:r>
    </w:p>
    <w:p>
      <w:pPr>
        <w:pStyle w:val="Heading2"/>
      </w:pPr>
      <w:r>
        <w:t>What is APR?</w:t>
      </w:r>
    </w:p>
    <w:p>
      <w:r>
        <w:t>APR is the annual cost of credit, including applicable interest and charges as defined by the relevant regulatory framework and the lender’s calculation.</w:t>
      </w:r>
    </w:p>
    <w:p>
      <w:pPr>
        <w:pStyle w:val="Heading2"/>
      </w:pPr>
      <w:r>
        <w:t>Can the AI tell me my EMI?</w:t>
      </w:r>
    </w:p>
    <w:p>
      <w:r>
        <w:t>Yes, when the required loan terms are known. For live products, the backend/lender-approved calculation is the source of truth. A mathematical estimate should be clearly labelled as an estimate.</w:t>
      </w:r>
    </w:p>
    <w:p>
      <w:pPr>
        <w:pStyle w:val="Heading2"/>
      </w:pPr>
      <w:r>
        <w:t>Can I use the AI Mentor for financial advice?</w:t>
      </w:r>
    </w:p>
    <w:p>
      <w:r>
        <w:t>The AI Mentor provides educational and product guidance, not a substitute for the contractual decision or professional advice where specialised advice is required.</w:t>
      </w:r>
    </w:p>
    <w:p>
      <w:pPr>
        <w:pStyle w:val="Heading2"/>
      </w:pPr>
      <w:r>
        <w:t>Can the AI predict my placement?</w:t>
      </w:r>
    </w:p>
    <w:p>
      <w:r>
        <w:t>The placement model can provide an estimate based on approved features and training data. It is not a guarantee of placement, employment or salary.</w:t>
      </w:r>
    </w:p>
    <w:p>
      <w:pPr>
        <w:pStyle w:val="Heading2"/>
      </w:pPr>
      <w:r>
        <w:t>What happens if my KYC details do not match?</w:t>
      </w:r>
    </w:p>
    <w:p>
      <w:r>
        <w:t>The application may remain pending or be directed to the designated correction/review process. The system should preserve an auditable outcome and a clear next step.</w:t>
      </w:r>
    </w:p>
    <w:p>
      <w:pPr>
        <w:pStyle w:val="Heading2"/>
      </w:pPr>
      <w:r>
        <w:t>Can I ask about a scholarship or college?</w:t>
      </w:r>
    </w:p>
    <w:p>
      <w:r>
        <w:t>Yes. The AI Mentor can retrieve current scholarship and college information from approved sources. Dynamic information should be refreshed rather than treated as permanent facts.</w:t>
      </w:r>
    </w:p>
    <w:p>
      <w:pPr>
        <w:pStyle w:val="Heading2"/>
      </w:pPr>
      <w:r>
        <w:t>Can the AI answer policy questions?</w:t>
      </w:r>
    </w:p>
    <w:p>
      <w:r>
        <w:t>Yes, but policy questions should be answered from the latest approved EduCardX document version, with document/version context where appropriate.</w:t>
      </w:r>
    </w:p>
    <w:p>
      <w:pPr>
        <w:pStyle w:val="Heading2"/>
      </w:pPr>
      <w:r>
        <w:t>What should I do if repayment is wrong?</w:t>
      </w:r>
    </w:p>
    <w:p>
      <w:r>
        <w:t>Check the current lender/servicing record and use the designated support or grievance process for the applicable financial product.</w:t>
      </w:r>
    </w:p>
    <w:p>
      <w:pPr>
        <w:pStyle w:val="Heading1"/>
      </w:pPr>
      <w:r>
        <w:t>Regulatory / authoritative references</w:t>
      </w:r>
    </w:p>
    <w:p>
      <w:pPr>
        <w:pStyle w:val="ListBullet"/>
      </w:pPr>
      <w:r>
        <w:rPr>
          <w:b/>
        </w:rPr>
        <w:t xml:space="preserve">RBI — Reserve Bank of India (Digital Lending) Directions, 2025 / Annual Report discussion of finalised directions — </w:t>
      </w:r>
      <w:r>
        <w:t>https://www.rbi.org.in/</w:t>
      </w:r>
    </w:p>
    <w:p>
      <w:pPr>
        <w:pStyle w:val="ListBullet"/>
      </w:pPr>
      <w:r>
        <w:rPr>
          <w:b/>
        </w:rPr>
        <w:t xml:space="preserve">RBI — Reserve Bank of India (KYC) (Amendment) Directions, 2025, 12 June 2025 — </w:t>
      </w:r>
      <w:r>
        <w:t>https://www.rbi.org.in/scripts/NotificationUser.aspx?Id=12866</w:t>
      </w:r>
    </w:p>
    <w:p>
      <w:pPr>
        <w:pStyle w:val="ListBullet"/>
      </w:pPr>
      <w:r>
        <w:rPr>
          <w:b/>
        </w:rPr>
        <w:t xml:space="preserve">RBI — Key Facts Statement (KFS) framework / APR requirements — </w:t>
      </w:r>
      <w:r>
        <w:t>https://www.rbi.org.in/scripts/NotificationUser.aspx?Id=12827</w:t>
      </w:r>
    </w:p>
    <w:p>
      <w:pPr>
        <w:pStyle w:val="ListBullet"/>
      </w:pPr>
      <w:r>
        <w:rPr>
          <w:b/>
        </w:rPr>
        <w:t xml:space="preserve">MeitY — Digital Personal Data Protection Rules, 2025 — </w:t>
      </w:r>
      <w:r>
        <w:t>https://www.meity.gov.in/documents/act-and-policies/digital-personal-data-protection-rules-2025-gDOxUjMtQWa</w:t>
      </w:r>
    </w:p>
    <w:p>
      <w:r>
        <w:t>The references above support the regulatory framing used in this document. Product-specific facts, contractual allocations, fees, rates, partner identities and operational SLAs must come from the currently approved EduCardX source of truth before publication.</w:t>
      </w:r>
    </w:p>
    <w:p>
      <w:r>
        <w:t>Implementation rule: this document is authoritative only for the scope explicitly stated here. Where a product fact is not yet approved or changes over time, the AI must retrieve the latest approved structured record or document version rather than infer a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RAG-GEN-006  |  Controlled draft — 04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EDUCARDX | AI + RAG CONTROLLED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