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Scholarship Information Guide</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RAG-EDU-008</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Purpose</w:t>
      </w:r>
    </w:p>
    <w:p>
      <w:r>
        <w:t>This guide defines how EduCardX should organise and explain scholarship information. Scholarship data is dynamic and should be treated as structured records with explicit source, eligibility and deadline fields.</w:t>
      </w:r>
    </w:p>
    <w:p>
      <w:pPr>
        <w:pStyle w:val="Heading1"/>
      </w:pPr>
      <w:r>
        <w:t>2. Required scholarship record</w:t>
      </w:r>
    </w:p>
    <w:p>
      <w:pPr>
        <w:pStyle w:val="ListBullet"/>
      </w:pPr>
      <w:r>
        <w:t>Scholarship name and sponsoring organisation.</w:t>
      </w:r>
    </w:p>
    <w:p>
      <w:pPr>
        <w:pStyle w:val="ListBullet"/>
      </w:pPr>
      <w:r>
        <w:t>Official source URL / source identifier.</w:t>
      </w:r>
    </w:p>
    <w:p>
      <w:pPr>
        <w:pStyle w:val="ListBullet"/>
      </w:pPr>
      <w:r>
        <w:t>Eligibility criteria and required documents.</w:t>
      </w:r>
    </w:p>
    <w:p>
      <w:pPr>
        <w:pStyle w:val="ListBullet"/>
      </w:pPr>
      <w:r>
        <w:t>Application opening and closing dates.</w:t>
      </w:r>
    </w:p>
    <w:p>
      <w:pPr>
        <w:pStyle w:val="ListBullet"/>
      </w:pPr>
      <w:r>
        <w:t>Geographic / institution / course restrictions where applicable.</w:t>
      </w:r>
    </w:p>
    <w:p>
      <w:pPr>
        <w:pStyle w:val="ListBullet"/>
      </w:pPr>
      <w:r>
        <w:t>Award amount or benefit, if officially published.</w:t>
      </w:r>
    </w:p>
    <w:p>
      <w:pPr>
        <w:pStyle w:val="ListBullet"/>
      </w:pPr>
      <w:r>
        <w:t>Last verified timestamp.</w:t>
      </w:r>
    </w:p>
    <w:p>
      <w:pPr>
        <w:pStyle w:val="ListBullet"/>
      </w:pPr>
      <w:r>
        <w:t>Status: active, upcoming, closed, or withdrawn.</w:t>
      </w:r>
    </w:p>
    <w:p>
      <w:pPr>
        <w:pStyle w:val="Heading1"/>
      </w:pPr>
      <w:r>
        <w:t>3. Recommendation rules</w:t>
      </w:r>
    </w:p>
    <w:p>
      <w:pPr>
        <w:pStyle w:val="ListNumber"/>
      </w:pPr>
      <w:r>
        <w:t>Match the student against current eligibility data.</w:t>
      </w:r>
    </w:p>
    <w:p>
      <w:pPr>
        <w:pStyle w:val="ListNumber"/>
      </w:pPr>
      <w:r>
        <w:t>Prefer official sources and current records.</w:t>
      </w:r>
    </w:p>
    <w:p>
      <w:pPr>
        <w:pStyle w:val="ListNumber"/>
      </w:pPr>
      <w:r>
        <w:t>Explain which eligibility conditions were met or not met.</w:t>
      </w:r>
    </w:p>
    <w:p>
      <w:pPr>
        <w:pStyle w:val="ListNumber"/>
      </w:pPr>
      <w:r>
        <w:t>Show deadlines and document requirements clearly.</w:t>
      </w:r>
    </w:p>
    <w:p>
      <w:pPr>
        <w:pStyle w:val="ListNumber"/>
      </w:pPr>
      <w:r>
        <w:t>Do not guarantee selection or award.</w:t>
      </w:r>
    </w:p>
    <w:p>
      <w:pPr>
        <w:pStyle w:val="Heading1"/>
      </w:pPr>
      <w:r>
        <w:t>4. Stale or conflicting information</w:t>
      </w:r>
    </w:p>
    <w:p>
      <w:r>
        <w:t>When scholarship information conflicts across sources, prefer the current official source or an approved data feed. If no authoritative resolution exists, state the uncertainty and recommend checking the official sponsor page.</w:t>
      </w:r>
    </w:p>
    <w:p>
      <w:pPr>
        <w:pStyle w:val="Heading1"/>
      </w:pPr>
      <w:r>
        <w:t>5. AI Mentor behaviour</w:t>
      </w:r>
    </w:p>
    <w:p>
      <w:r>
        <w:t>Scholarship questions should call searchScholarships() or the approved equivalent tool. The LLM should explain retrieved facts, not fabricate eligibility, deadlines or award values.</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RAG-EDU-008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