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2E8BFF"/>
          <w:sz w:val="22"/>
        </w:rPr>
        <w:t>EDUCARDX</w:t>
      </w:r>
    </w:p>
    <w:p>
      <w:pPr>
        <w:pStyle w:val="Title"/>
      </w:pPr>
      <w:r>
        <w:t>College Information Guide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EF5FF"/>
            <w:vAlign w:val="center"/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</w:tcPr>
          <w:p>
            <w:r>
              <w:t>Document ID</w:t>
            </w:r>
          </w:p>
        </w:tc>
        <w:tc>
          <w:tcPr>
            <w:tcW w:type="dxa" w:w="4968"/>
            <w:vAlign w:val="center"/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</w:tcPr>
          <w:p>
            <w:r>
              <w:t>RAG-EDU-009</w:t>
            </w:r>
          </w:p>
        </w:tc>
      </w:tr>
      <w:tr>
        <w:tc>
          <w:tcPr>
            <w:tcW w:type="dxa" w:w="4968"/>
            <w:shd w:fill="EEF5FF"/>
            <w:vAlign w:val="center"/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</w:tcPr>
          <w:p>
            <w:r>
              <w:t>Version</w:t>
            </w:r>
          </w:p>
        </w:tc>
        <w:tc>
          <w:tcPr>
            <w:tcW w:type="dxa" w:w="4968"/>
            <w:vAlign w:val="center"/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</w:tcPr>
          <w:p>
            <w:r>
              <w:t>1.0</w:t>
            </w:r>
          </w:p>
        </w:tc>
      </w:tr>
      <w:tr>
        <w:tc>
          <w:tcPr>
            <w:tcW w:type="dxa" w:w="4968"/>
            <w:shd w:fill="EEF5FF"/>
            <w:vAlign w:val="center"/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</w:tcPr>
          <w:p>
            <w:r>
              <w:t>Status</w:t>
            </w:r>
          </w:p>
        </w:tc>
        <w:tc>
          <w:tcPr>
            <w:tcW w:type="dxa" w:w="4968"/>
            <w:vAlign w:val="center"/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</w:tcPr>
          <w:p>
            <w:r>
              <w:t>Controlled final draft for implementation / legal sign-off</w:t>
            </w:r>
          </w:p>
        </w:tc>
      </w:tr>
    </w:tbl>
    <w:p/>
    <w:p>
      <w:pPr>
        <w:pStyle w:val="Heading1"/>
      </w:pPr>
      <w:r>
        <w:t>1. Scope</w:t>
      </w:r>
    </w:p>
    <w:p>
      <w:r>
        <w:t>This guide defines how EduCardX should present college information using verified or approved data sources. College records can change and should include source and freshness metadata.</w:t>
      </w:r>
    </w:p>
    <w:p>
      <w:pPr>
        <w:pStyle w:val="Heading1"/>
      </w:pPr>
      <w:r>
        <w:t>2. College profile fields</w:t>
      </w:r>
    </w:p>
    <w:p>
      <w:pPr>
        <w:pStyle w:val="ListBullet"/>
      </w:pPr>
      <w:r>
        <w:t>Institution name and official identity.</w:t>
      </w:r>
    </w:p>
    <w:p>
      <w:pPr>
        <w:pStyle w:val="ListBullet"/>
      </w:pPr>
      <w:r>
        <w:t>Location and campus information.</w:t>
      </w:r>
    </w:p>
    <w:p>
      <w:pPr>
        <w:pStyle w:val="ListBullet"/>
      </w:pPr>
      <w:r>
        <w:t>Accreditation / recognition data where officially sourced.</w:t>
      </w:r>
    </w:p>
    <w:p>
      <w:pPr>
        <w:pStyle w:val="ListBullet"/>
      </w:pPr>
      <w:r>
        <w:t>Courses and branches offered.</w:t>
      </w:r>
    </w:p>
    <w:p>
      <w:pPr>
        <w:pStyle w:val="ListBullet"/>
      </w:pPr>
      <w:r>
        <w:t>Admission information and official eligibility criteria.</w:t>
      </w:r>
    </w:p>
    <w:p>
      <w:pPr>
        <w:pStyle w:val="ListBullet"/>
      </w:pPr>
      <w:r>
        <w:t>Fees only when sourced and time-stamped.</w:t>
      </w:r>
    </w:p>
    <w:p>
      <w:pPr>
        <w:pStyle w:val="ListBullet"/>
      </w:pPr>
      <w:r>
        <w:t>Scholarships or financial-aid information where officially supported.</w:t>
      </w:r>
    </w:p>
    <w:p>
      <w:pPr>
        <w:pStyle w:val="ListBullet"/>
      </w:pPr>
      <w:r>
        <w:t>Placement statistics only when clearly attributed to the reporting year and source.</w:t>
      </w:r>
    </w:p>
    <w:p>
      <w:pPr>
        <w:pStyle w:val="Heading1"/>
      </w:pPr>
      <w:r>
        <w:t>3. Comparison rules</w:t>
      </w:r>
    </w:p>
    <w:p>
      <w:pPr>
        <w:pStyle w:val="ListBullet"/>
      </w:pPr>
      <w:r>
        <w:t>Compare like-for-like metrics with the same time period and source quality.</w:t>
      </w:r>
    </w:p>
    <w:p>
      <w:pPr>
        <w:pStyle w:val="ListBullet"/>
      </w:pPr>
      <w:r>
        <w:t>Do not convert marketing claims into factual guarantees.</w:t>
      </w:r>
    </w:p>
    <w:p>
      <w:pPr>
        <w:pStyle w:val="ListBullet"/>
      </w:pPr>
      <w:r>
        <w:t>Do not invent rankings, placement rates, fees or accreditation status.</w:t>
      </w:r>
    </w:p>
    <w:p>
      <w:pPr>
        <w:pStyle w:val="Heading1"/>
      </w:pPr>
      <w:r>
        <w:t>4. Recommendation rules</w:t>
      </w:r>
    </w:p>
    <w:p>
      <w:r>
        <w:t>When asked which college is better, the Mentor should explain the criteria used, cite the current data source and account for the student’s stated goals. It should avoid presenting a subjective recommendation as an objective fact.</w:t>
      </w:r>
    </w:p>
    <w:p>
      <w:pPr>
        <w:pStyle w:val="Heading1"/>
      </w:pPr>
      <w:r>
        <w:t>5. Verification</w:t>
      </w:r>
    </w:p>
    <w:p>
      <w:r>
        <w:t>Institution verification should rely on authoritative records or approved EduCardX verification processes. OCR or user-submitted documents can support verification but should not be treated as unquestionable truth without validation.</w:t>
      </w:r>
    </w:p>
    <w:p>
      <w:pPr>
        <w:pStyle w:val="Heading1"/>
      </w:pPr>
      <w:r>
        <w:t>Regulatory / authoritative references</w:t>
      </w:r>
    </w:p>
    <w:p>
      <w:pPr>
        <w:pStyle w:val="ListBullet"/>
      </w:pPr>
      <w:r>
        <w:rPr>
          <w:b/>
        </w:rPr>
        <w:t xml:space="preserve">RBI — Reserve Bank of India (Digital Lending) Directions, 2025 / Annual Report discussion of finalised directions — </w:t>
      </w:r>
      <w:r>
        <w:t>https://www.rbi.org.in/</w:t>
      </w:r>
    </w:p>
    <w:p>
      <w:pPr>
        <w:pStyle w:val="ListBullet"/>
      </w:pPr>
      <w:r>
        <w:rPr>
          <w:b/>
        </w:rPr>
        <w:t xml:space="preserve">RBI — Reserve Bank of India (KYC) (Amendment) Directions, 2025, 12 June 2025 — </w:t>
      </w:r>
      <w:r>
        <w:t>https://www.rbi.org.in/scripts/NotificationUser.aspx?Id=12866</w:t>
      </w:r>
    </w:p>
    <w:p>
      <w:pPr>
        <w:pStyle w:val="ListBullet"/>
      </w:pPr>
      <w:r>
        <w:rPr>
          <w:b/>
        </w:rPr>
        <w:t xml:space="preserve">RBI — Key Facts Statement (KFS) framework / APR requirements — </w:t>
      </w:r>
      <w:r>
        <w:t>https://www.rbi.org.in/scripts/NotificationUser.aspx?Id=12827</w:t>
      </w:r>
    </w:p>
    <w:p>
      <w:pPr>
        <w:pStyle w:val="ListBullet"/>
      </w:pPr>
      <w:r>
        <w:rPr>
          <w:b/>
        </w:rPr>
        <w:t xml:space="preserve">MeitY — Digital Personal Data Protection Rules, 2025 — </w:t>
      </w:r>
      <w:r>
        <w:t>https://www.meity.gov.in/documents/act-and-policies/digital-personal-data-protection-rules-2025-gDOxUjMtQWa</w:t>
      </w:r>
    </w:p>
    <w:p>
      <w:r>
        <w:t>The references above support the regulatory framing used in this document. Product-specific facts, contractual allocations, fees, rates, partner identities and operational SLAs must come from the currently approved EduCardX source of truth before publication.</w:t>
      </w:r>
    </w:p>
    <w:p>
      <w:r>
        <w:t>Implementation rule: this document is authoritative only for the scope explicitly stated here. Where a product fact is not yet approved or changes over time, the AI must retrieve the latest approved structured record or document version rather than infer a value.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>RAG-EDU-009  |  Controlled draft — 04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573"/>
        <w:sz w:val="16"/>
      </w:rPr>
      <w:t>EDUCARDX | AI + RAG CONTROLLED KNOWLEDGE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7324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F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8B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1F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1F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