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2E8BFF"/>
          <w:sz w:val="22"/>
        </w:rPr>
        <w:t>EDUCARDX</w:t>
      </w:r>
    </w:p>
    <w:p>
      <w:pPr>
        <w:pStyle w:val="Title"/>
      </w:pPr>
      <w:r>
        <w:t>Career &amp; Placement Guide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Document ID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RAG-CAREER-010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Version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1.0</w:t>
            </w:r>
          </w:p>
        </w:tc>
      </w:tr>
      <w:tr>
        <w:tc>
          <w:tcPr>
            <w:tcW w:type="dxa" w:w="4968"/>
            <w:shd w:fill="EEF5FF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Status</w:t>
            </w:r>
          </w:p>
        </w:tc>
        <w:tc>
          <w:tcPr>
            <w:tcW w:type="dxa" w:w="4968"/>
            <w:vAlign w:val="center"/>
            <w:tcBorders>
              <w:top w:val="single" w:sz="4" w:color="D7DFEA"/>
              <w:left w:val="single" w:sz="4" w:color="D7DFEA"/>
              <w:bottom w:val="single" w:sz="4" w:color="D7DFEA"/>
              <w:right w:val="single" w:sz="4" w:color="D7DFEA"/>
            </w:tcBorders>
          </w:tcPr>
          <w:p>
            <w:r>
              <w:t>Controlled final draft for implementation / legal sign-off</w:t>
            </w:r>
          </w:p>
        </w:tc>
      </w:tr>
    </w:tbl>
    <w:p/>
    <w:p>
      <w:pPr>
        <w:pStyle w:val="Heading1"/>
      </w:pPr>
      <w:r>
        <w:t>1. Career guidance objective</w:t>
      </w:r>
    </w:p>
    <w:p>
      <w:r>
        <w:t>The EduCardX Career Mentor helps a student translate academic background, skills and goals into practical development actions. It may combine structured profile data, retrieval of career guidance and a separate placement prediction model.</w:t>
      </w:r>
    </w:p>
    <w:p>
      <w:pPr>
        <w:pStyle w:val="Heading1"/>
      </w:pPr>
      <w:r>
        <w:t>2. Placement prediction is an ML service</w:t>
      </w:r>
    </w:p>
    <w:p>
      <w:r>
        <w:t>Placement probability must be produced by a separately governed ML model, not generated by the conversational LLM. Recommended candidate models include Logistic Regression as a baseline and XGBoost, LightGBM or CatBoost as advanced candidates, subject to validation results.</w:t>
      </w:r>
    </w:p>
    <w:p>
      <w:pPr>
        <w:pStyle w:val="Heading1"/>
      </w:pPr>
      <w:r>
        <w:t>3. Candidate feature groups</w:t>
      </w:r>
    </w:p>
    <w:p>
      <w:pPr>
        <w:pStyle w:val="ListBullet"/>
      </w:pPr>
      <w:r>
        <w:t>Academic: CGPA, semester, backlogs, course, branch, institution and attendance where legitimately available.</w:t>
      </w:r>
    </w:p>
    <w:p>
      <w:pPr>
        <w:pStyle w:val="ListBullet"/>
      </w:pPr>
      <w:r>
        <w:t>Skills: programming, SQL, DSA, AI/ML, cloud and other verified skills.</w:t>
      </w:r>
    </w:p>
    <w:p>
      <w:pPr>
        <w:pStyle w:val="ListBullet"/>
      </w:pPr>
      <w:r>
        <w:t>Experience: internships, projects, hackathons, research and certifications.</w:t>
      </w:r>
    </w:p>
    <w:p>
      <w:pPr>
        <w:pStyle w:val="ListBullet"/>
      </w:pPr>
      <w:r>
        <w:t>Career: target role, preferred location, industry and salary expectation.</w:t>
      </w:r>
    </w:p>
    <w:p>
      <w:pPr>
        <w:pStyle w:val="ListBullet"/>
      </w:pPr>
      <w:r>
        <w:t>Assessments: coding, technical interview, communication and mock-interview scores where collected lawfully and approved.</w:t>
      </w:r>
    </w:p>
    <w:p>
      <w:pPr>
        <w:pStyle w:val="Heading1"/>
      </w:pPr>
      <w:r>
        <w:t>4. Label definition</w:t>
      </w:r>
    </w:p>
    <w:p>
      <w:r>
        <w:t>The target outcome must be defined consistently, for example placed_within_6_months or placed_within_12_months. One model version must not mix incompatible definitions of “placement”.</w:t>
      </w:r>
    </w:p>
    <w:p>
      <w:pPr>
        <w:pStyle w:val="Heading1"/>
      </w:pPr>
      <w:r>
        <w:t>5. Model output</w:t>
      </w:r>
    </w:p>
    <w:p>
      <w:r>
        <w:t>A production response should contain structured outputs such as placement_probability, readiness_score, strengths, gaps and model_version. The confidence and limitations of the prediction should be explained in user-friendly language.</w:t>
      </w:r>
    </w:p>
    <w:p>
      <w:pPr>
        <w:pStyle w:val="Heading1"/>
      </w:pPr>
      <w:r>
        <w:t>6. Evaluation</w:t>
      </w:r>
    </w:p>
    <w:p>
      <w:pPr>
        <w:pStyle w:val="ListBullet"/>
      </w:pPr>
      <w:r>
        <w:t>ROC-AUC and PR-AUC.</w:t>
      </w:r>
    </w:p>
    <w:p>
      <w:pPr>
        <w:pStyle w:val="ListBullet"/>
      </w:pPr>
      <w:r>
        <w:t>Precision, recall and F1.</w:t>
      </w:r>
    </w:p>
    <w:p>
      <w:pPr>
        <w:pStyle w:val="ListBullet"/>
      </w:pPr>
      <w:r>
        <w:t>Calibration and probability reliability.</w:t>
      </w:r>
    </w:p>
    <w:p>
      <w:pPr>
        <w:pStyle w:val="ListBullet"/>
      </w:pPr>
      <w:r>
        <w:t>Stability across cohorts and time.</w:t>
      </w:r>
    </w:p>
    <w:p>
      <w:pPr>
        <w:pStyle w:val="ListBullet"/>
      </w:pPr>
      <w:r>
        <w:t>Out-of-time validation before production use.</w:t>
      </w:r>
    </w:p>
    <w:p>
      <w:pPr>
        <w:pStyle w:val="ListBullet"/>
      </w:pPr>
      <w:r>
        <w:t>Bias, fairness and error analysis appropriate to the feature set and use case.</w:t>
      </w:r>
    </w:p>
    <w:p>
      <w:pPr>
        <w:pStyle w:val="Heading1"/>
      </w:pPr>
      <w:r>
        <w:t>7. No guarantee</w:t>
      </w:r>
    </w:p>
    <w:p>
      <w:r>
        <w:t>Placement predictions are estimates. They are not guarantees of employment, interview selection, compensation, promotion or placement timing.</w:t>
      </w:r>
    </w:p>
    <w:p>
      <w:pPr>
        <w:pStyle w:val="Heading1"/>
      </w:pPr>
      <w:r>
        <w:t>8. Career coaching actions</w:t>
      </w:r>
    </w:p>
    <w:p>
      <w:pPr>
        <w:pStyle w:val="ListBullet"/>
      </w:pPr>
      <w:r>
        <w:t>Identify skill gaps.</w:t>
      </w:r>
    </w:p>
    <w:p>
      <w:pPr>
        <w:pStyle w:val="ListBullet"/>
      </w:pPr>
      <w:r>
        <w:t>Generate 7-day, 30-day and 90-day improvement plans.</w:t>
      </w:r>
    </w:p>
    <w:p>
      <w:pPr>
        <w:pStyle w:val="ListBullet"/>
      </w:pPr>
      <w:r>
        <w:t>Recommend projects and practice areas.</w:t>
      </w:r>
    </w:p>
    <w:p>
      <w:pPr>
        <w:pStyle w:val="ListBullet"/>
      </w:pPr>
      <w:r>
        <w:t>Track learning and assessment progress.</w:t>
      </w:r>
    </w:p>
    <w:p>
      <w:pPr>
        <w:pStyle w:val="ListBullet"/>
      </w:pPr>
      <w:r>
        <w:t>Prepare resumes, interviews and application strategies.</w:t>
      </w:r>
    </w:p>
    <w:p>
      <w:pPr>
        <w:pStyle w:val="Heading1"/>
      </w:pPr>
      <w:r>
        <w:t>9. Explainability</w:t>
      </w:r>
    </w:p>
    <w:p>
      <w:r>
        <w:t>The system should explain the major factors contributing to a prediction without exposing proprietary model internals or sensitive information unnecessarily. The explanation must not imply causal certainty where the model only identifies predictive association.</w:t>
      </w:r>
    </w:p>
    <w:p>
      <w:pPr>
        <w:pStyle w:val="Heading1"/>
      </w:pPr>
      <w:r>
        <w:t>Regulatory / authoritative references</w:t>
      </w:r>
    </w:p>
    <w:p>
      <w:pPr>
        <w:pStyle w:val="ListBullet"/>
      </w:pPr>
      <w:r>
        <w:rPr>
          <w:b/>
        </w:rPr>
        <w:t xml:space="preserve">RBI — Reserve Bank of India (Digital Lending) Directions, 2025 / Annual Report discussion of finalised directions — </w:t>
      </w:r>
      <w:r>
        <w:t>https://www.rbi.org.in/</w:t>
      </w:r>
    </w:p>
    <w:p>
      <w:pPr>
        <w:pStyle w:val="ListBullet"/>
      </w:pPr>
      <w:r>
        <w:rPr>
          <w:b/>
        </w:rPr>
        <w:t xml:space="preserve">RBI — Reserve Bank of India (KYC) (Amendment) Directions, 2025, 12 June 2025 — </w:t>
      </w:r>
      <w:r>
        <w:t>https://www.rbi.org.in/scripts/NotificationUser.aspx?Id=12866</w:t>
      </w:r>
    </w:p>
    <w:p>
      <w:pPr>
        <w:pStyle w:val="ListBullet"/>
      </w:pPr>
      <w:r>
        <w:rPr>
          <w:b/>
        </w:rPr>
        <w:t xml:space="preserve">RBI — Key Facts Statement (KFS) framework / APR requirements — </w:t>
      </w:r>
      <w:r>
        <w:t>https://www.rbi.org.in/scripts/NotificationUser.aspx?Id=12827</w:t>
      </w:r>
    </w:p>
    <w:p>
      <w:pPr>
        <w:pStyle w:val="ListBullet"/>
      </w:pPr>
      <w:r>
        <w:rPr>
          <w:b/>
        </w:rPr>
        <w:t xml:space="preserve">MeitY — Digital Personal Data Protection Rules, 2025 — </w:t>
      </w:r>
      <w:r>
        <w:t>https://www.meity.gov.in/documents/act-and-policies/digital-personal-data-protection-rules-2025-gDOxUjMtQWa</w:t>
      </w:r>
    </w:p>
    <w:p>
      <w:r>
        <w:t>The references above support the regulatory framing used in this document. Product-specific facts, contractual allocations, fees, rates, partner identities and operational SLAs must come from the currently approved EduCardX source of truth before publication.</w:t>
      </w:r>
    </w:p>
    <w:p>
      <w:r>
        <w:t>Implementation rule: this document is authoritative only for the scope explicitly stated here. Where a product fact is not yet approved or changes over time, the AI must retrieve the latest approved structured record or document version rather than infer a value.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RAG-CAREER-010  |  Controlled draft — 04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573"/>
        <w:sz w:val="16"/>
      </w:rPr>
      <w:t>EDUCARDX | AI + RAG CONTROLLED KNOWLEDGE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7324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8B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