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2E8BFF"/>
          <w:sz w:val="22"/>
        </w:rPr>
        <w:t>EDUCARDX</w:t>
      </w:r>
    </w:p>
    <w:p>
      <w:pPr>
        <w:pStyle w:val="Title"/>
      </w:pPr>
      <w:r>
        <w:t>Financial Literacy Guide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EF5FF"/>
            <w:vAlign w:val="center"/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</w:tcPr>
          <w:p>
            <w:r>
              <w:t>Document ID</w:t>
            </w:r>
          </w:p>
        </w:tc>
        <w:tc>
          <w:tcPr>
            <w:tcW w:type="dxa" w:w="4968"/>
            <w:vAlign w:val="center"/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</w:tcPr>
          <w:p>
            <w:r>
              <w:t>RAG-FINLIT-011</w:t>
            </w:r>
          </w:p>
        </w:tc>
      </w:tr>
      <w:tr>
        <w:tc>
          <w:tcPr>
            <w:tcW w:type="dxa" w:w="4968"/>
            <w:shd w:fill="EEF5FF"/>
            <w:vAlign w:val="center"/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</w:tcPr>
          <w:p>
            <w:r>
              <w:t>Version</w:t>
            </w:r>
          </w:p>
        </w:tc>
        <w:tc>
          <w:tcPr>
            <w:tcW w:type="dxa" w:w="4968"/>
            <w:vAlign w:val="center"/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</w:tcPr>
          <w:p>
            <w:r>
              <w:t>1.0</w:t>
            </w:r>
          </w:p>
        </w:tc>
      </w:tr>
      <w:tr>
        <w:tc>
          <w:tcPr>
            <w:tcW w:type="dxa" w:w="4968"/>
            <w:shd w:fill="EEF5FF"/>
            <w:vAlign w:val="center"/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</w:tcPr>
          <w:p>
            <w:r>
              <w:t>Status</w:t>
            </w:r>
          </w:p>
        </w:tc>
        <w:tc>
          <w:tcPr>
            <w:tcW w:type="dxa" w:w="4968"/>
            <w:vAlign w:val="center"/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</w:tcPr>
          <w:p>
            <w:r>
              <w:t>Controlled final draft for implementation / legal sign-off</w:t>
            </w:r>
          </w:p>
        </w:tc>
      </w:tr>
    </w:tbl>
    <w:p/>
    <w:p>
      <w:pPr>
        <w:pStyle w:val="Heading1"/>
      </w:pPr>
      <w:r>
        <w:t>1. Goal</w:t>
      </w:r>
    </w:p>
    <w:p>
      <w:r>
        <w:t>This guide provides neutral educational explanations that help students understand borrowing, repayments, budgeting and responsible financial behaviour.</w:t>
      </w:r>
    </w:p>
    <w:p>
      <w:pPr>
        <w:pStyle w:val="Heading1"/>
      </w:pPr>
      <w:r>
        <w:t>2. Core concepts</w:t>
      </w:r>
    </w:p>
    <w:p>
      <w:pPr>
        <w:pStyle w:val="ListBullet"/>
      </w:pPr>
      <w:r>
        <w:t>Principal — the amount financed.</w:t>
      </w:r>
    </w:p>
    <w:p>
      <w:pPr>
        <w:pStyle w:val="ListBullet"/>
      </w:pPr>
      <w:r>
        <w:t>Interest — the cost of borrowing, according to the applicable loan terms.</w:t>
      </w:r>
    </w:p>
    <w:p>
      <w:pPr>
        <w:pStyle w:val="ListBullet"/>
      </w:pPr>
      <w:r>
        <w:t>EMI — an equated periodic instalment that may contain principal and interest.</w:t>
      </w:r>
    </w:p>
    <w:p>
      <w:pPr>
        <w:pStyle w:val="ListBullet"/>
      </w:pPr>
      <w:r>
        <w:t>APR — the annual cost of credit including applicable interest and charges under the relevant framework.</w:t>
      </w:r>
    </w:p>
    <w:p>
      <w:pPr>
        <w:pStyle w:val="ListBullet"/>
      </w:pPr>
      <w:r>
        <w:t>Tenure — the duration and number of repayment intervals specified in the contract.</w:t>
      </w:r>
    </w:p>
    <w:p>
      <w:pPr>
        <w:pStyle w:val="ListBullet"/>
      </w:pPr>
      <w:r>
        <w:t>Credit utilisation — the share of an available revolving limit that is being used, where relevant to the product.</w:t>
      </w:r>
    </w:p>
    <w:p>
      <w:pPr>
        <w:pStyle w:val="Heading1"/>
      </w:pPr>
      <w:r>
        <w:t>3. Borrowing checklist</w:t>
      </w:r>
    </w:p>
    <w:p>
      <w:pPr>
        <w:pStyle w:val="ListNumber"/>
      </w:pPr>
      <w:r>
        <w:t>Understand the purpose of borrowing.</w:t>
      </w:r>
    </w:p>
    <w:p>
      <w:pPr>
        <w:pStyle w:val="ListNumber"/>
      </w:pPr>
      <w:r>
        <w:t>Read the lender-provided KFS and loan agreement.</w:t>
      </w:r>
    </w:p>
    <w:p>
      <w:pPr>
        <w:pStyle w:val="ListNumber"/>
      </w:pPr>
      <w:r>
        <w:t>Compare total repayment, not only EMI.</w:t>
      </w:r>
    </w:p>
    <w:p>
      <w:pPr>
        <w:pStyle w:val="ListNumber"/>
      </w:pPr>
      <w:r>
        <w:t>Check all disclosed charges and conditions.</w:t>
      </w:r>
    </w:p>
    <w:p>
      <w:pPr>
        <w:pStyle w:val="ListNumber"/>
      </w:pPr>
      <w:r>
        <w:t>Make sure repayment fits within expected cash flow.</w:t>
      </w:r>
    </w:p>
    <w:p>
      <w:pPr>
        <w:pStyle w:val="ListNumber"/>
      </w:pPr>
      <w:r>
        <w:t>Keep records of payment confirmations.</w:t>
      </w:r>
    </w:p>
    <w:p>
      <w:pPr>
        <w:pStyle w:val="Heading1"/>
      </w:pPr>
      <w:r>
        <w:t>4. Budgeting</w:t>
      </w:r>
    </w:p>
    <w:p>
      <w:r>
        <w:t>A simple student budget separates essential expenses, education expenses, discretionary spending, savings and debt obligations. The AI Mentor may help construct a budget from authorised transaction data, but must clearly distinguish observed data from assumptions.</w:t>
      </w:r>
    </w:p>
    <w:p>
      <w:pPr>
        <w:pStyle w:val="Heading1"/>
      </w:pPr>
      <w:r>
        <w:t>5. Credit health education</w:t>
      </w:r>
    </w:p>
    <w:p>
      <w:r>
        <w:t>Credit health guidance should focus on responsible repayment, avoiding unaffordable borrowing and keeping account information accurate. The Mentor should not promise a specific credit-score change from one behaviour unless supported by an approved source.</w:t>
      </w:r>
    </w:p>
    <w:p>
      <w:pPr>
        <w:pStyle w:val="Heading1"/>
      </w:pPr>
      <w:r>
        <w:t>6. Fraud and security</w:t>
      </w:r>
    </w:p>
    <w:p>
      <w:pPr>
        <w:pStyle w:val="ListBullet"/>
      </w:pPr>
      <w:r>
        <w:t>Never share OTPs, passwords or access tokens.</w:t>
      </w:r>
    </w:p>
    <w:p>
      <w:pPr>
        <w:pStyle w:val="ListBullet"/>
      </w:pPr>
      <w:r>
        <w:t>Verify payment links and official communication channels.</w:t>
      </w:r>
    </w:p>
    <w:p>
      <w:pPr>
        <w:pStyle w:val="ListBullet"/>
      </w:pPr>
      <w:r>
        <w:t>Report suspicious transactions promptly.</w:t>
      </w:r>
    </w:p>
    <w:p>
      <w:pPr>
        <w:pStyle w:val="ListBullet"/>
      </w:pPr>
      <w:r>
        <w:t>Use strong authentication and keep devices updated.</w:t>
      </w:r>
    </w:p>
    <w:p>
      <w:pPr>
        <w:pStyle w:val="Heading1"/>
      </w:pPr>
      <w:r>
        <w:t>7. Responsible AI rule</w:t>
      </w:r>
    </w:p>
    <w:p>
      <w:r>
        <w:t>Financial literacy content is educational. When a user asks for a live loan amount, repayment amount, account status or lender-specific term, the system must call the relevant backend tool or retrieve the current authoritative record.</w:t>
      </w:r>
    </w:p>
    <w:p>
      <w:pPr>
        <w:pStyle w:val="Heading1"/>
      </w:pPr>
      <w:r>
        <w:t>Regulatory / authoritative references</w:t>
      </w:r>
    </w:p>
    <w:p>
      <w:pPr>
        <w:pStyle w:val="ListBullet"/>
      </w:pPr>
      <w:r>
        <w:rPr>
          <w:b/>
        </w:rPr>
        <w:t xml:space="preserve">RBI — Reserve Bank of India (Digital Lending) Directions, 2025 / Annual Report discussion of finalised directions — </w:t>
      </w:r>
      <w:r>
        <w:t>https://www.rbi.org.in/</w:t>
      </w:r>
    </w:p>
    <w:p>
      <w:pPr>
        <w:pStyle w:val="ListBullet"/>
      </w:pPr>
      <w:r>
        <w:rPr>
          <w:b/>
        </w:rPr>
        <w:t xml:space="preserve">RBI — Reserve Bank of India (KYC) (Amendment) Directions, 2025, 12 June 2025 — </w:t>
      </w:r>
      <w:r>
        <w:t>https://www.rbi.org.in/scripts/NotificationUser.aspx?Id=12866</w:t>
      </w:r>
    </w:p>
    <w:p>
      <w:pPr>
        <w:pStyle w:val="ListBullet"/>
      </w:pPr>
      <w:r>
        <w:rPr>
          <w:b/>
        </w:rPr>
        <w:t xml:space="preserve">RBI — Key Facts Statement (KFS) framework / APR requirements — </w:t>
      </w:r>
      <w:r>
        <w:t>https://www.rbi.org.in/scripts/NotificationUser.aspx?Id=12827</w:t>
      </w:r>
    </w:p>
    <w:p>
      <w:pPr>
        <w:pStyle w:val="ListBullet"/>
      </w:pPr>
      <w:r>
        <w:rPr>
          <w:b/>
        </w:rPr>
        <w:t xml:space="preserve">MeitY — Digital Personal Data Protection Rules, 2025 — </w:t>
      </w:r>
      <w:r>
        <w:t>https://www.meity.gov.in/documents/act-and-policies/digital-personal-data-protection-rules-2025-gDOxUjMtQWa</w:t>
      </w:r>
    </w:p>
    <w:p>
      <w:r>
        <w:t>The references above support the regulatory framing used in this document. Product-specific facts, contractual allocations, fees, rates, partner identities and operational SLAs must come from the currently approved EduCardX source of truth before publication.</w:t>
      </w:r>
    </w:p>
    <w:p>
      <w:r>
        <w:t>Implementation rule: this document is authoritative only for the scope explicitly stated here. Where a product fact is not yet approved or changes over time, the AI must retrieve the latest approved structured record or document version rather than infer a value.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>RAG-FINLIT-011  |  Controlled draft — 04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3"/>
        <w:sz w:val="16"/>
      </w:rPr>
      <w:t>EDUCARDX | AI + RAG CONTROLLED KNOWLEDGE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7324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8B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1F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