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2E8BFF"/>
          <w:sz w:val="22"/>
        </w:rPr>
        <w:t>EDUCARDX</w:t>
      </w:r>
    </w:p>
    <w:p>
      <w:pPr>
        <w:pStyle w:val="Title"/>
      </w:pPr>
      <w:r>
        <w:t>AI Mentor Operating Policy &amp; ML Prediction Specification</w:t>
      </w:r>
    </w:p>
    <w:tbl>
      <w:tblPr>
        <w:tblW w:type="auto" w:w="0"/>
        <w:jc w:val="center"/>
        <w:tblLayout w:type="autofit"/>
        <w:tblLook w:firstColumn="1" w:firstRow="1" w:lastColumn="0" w:lastRow="0" w:noHBand="0" w:noVBand="1" w:val="04A0"/>
      </w:tblPr>
      <w:tblGrid>
        <w:gridCol w:w="4968"/>
        <w:gridCol w:w="4968"/>
      </w:tblGrid>
      <w:tr>
        <w:tc>
          <w:tcPr>
            <w:tcW w:type="dxa" w:w="4968"/>
            <w:shd w:fill="EEF5FF"/>
            <w:vAlign w:val="center"/>
            <w:tcBorders>
              <w:top w:val="single" w:sz="4" w:color="D7DFEA"/>
              <w:left w:val="single" w:sz="4" w:color="D7DFEA"/>
              <w:bottom w:val="single" w:sz="4" w:color="D7DFEA"/>
              <w:right w:val="single" w:sz="4" w:color="D7DFEA"/>
            </w:tcBorders>
          </w:tcPr>
          <w:p>
            <w:r>
              <w:t>Document ID</w:t>
            </w:r>
          </w:p>
        </w:tc>
        <w:tc>
          <w:tcPr>
            <w:tcW w:type="dxa" w:w="4968"/>
            <w:vAlign w:val="center"/>
            <w:tcBorders>
              <w:top w:val="single" w:sz="4" w:color="D7DFEA"/>
              <w:left w:val="single" w:sz="4" w:color="D7DFEA"/>
              <w:bottom w:val="single" w:sz="4" w:color="D7DFEA"/>
              <w:right w:val="single" w:sz="4" w:color="D7DFEA"/>
            </w:tcBorders>
          </w:tcPr>
          <w:p>
            <w:r>
              <w:t>AI-OPS-012</w:t>
            </w:r>
          </w:p>
        </w:tc>
      </w:tr>
      <w:tr>
        <w:tc>
          <w:tcPr>
            <w:tcW w:type="dxa" w:w="4968"/>
            <w:shd w:fill="EEF5FF"/>
            <w:vAlign w:val="center"/>
            <w:tcBorders>
              <w:top w:val="single" w:sz="4" w:color="D7DFEA"/>
              <w:left w:val="single" w:sz="4" w:color="D7DFEA"/>
              <w:bottom w:val="single" w:sz="4" w:color="D7DFEA"/>
              <w:right w:val="single" w:sz="4" w:color="D7DFEA"/>
            </w:tcBorders>
          </w:tcPr>
          <w:p>
            <w:r>
              <w:t>Version</w:t>
            </w:r>
          </w:p>
        </w:tc>
        <w:tc>
          <w:tcPr>
            <w:tcW w:type="dxa" w:w="4968"/>
            <w:vAlign w:val="center"/>
            <w:tcBorders>
              <w:top w:val="single" w:sz="4" w:color="D7DFEA"/>
              <w:left w:val="single" w:sz="4" w:color="D7DFEA"/>
              <w:bottom w:val="single" w:sz="4" w:color="D7DFEA"/>
              <w:right w:val="single" w:sz="4" w:color="D7DFEA"/>
            </w:tcBorders>
          </w:tcPr>
          <w:p>
            <w:r>
              <w:t>1.0</w:t>
            </w:r>
          </w:p>
        </w:tc>
      </w:tr>
      <w:tr>
        <w:tc>
          <w:tcPr>
            <w:tcW w:type="dxa" w:w="4968"/>
            <w:shd w:fill="EEF5FF"/>
            <w:vAlign w:val="center"/>
            <w:tcBorders>
              <w:top w:val="single" w:sz="4" w:color="D7DFEA"/>
              <w:left w:val="single" w:sz="4" w:color="D7DFEA"/>
              <w:bottom w:val="single" w:sz="4" w:color="D7DFEA"/>
              <w:right w:val="single" w:sz="4" w:color="D7DFEA"/>
            </w:tcBorders>
          </w:tcPr>
          <w:p>
            <w:r>
              <w:t>Status</w:t>
            </w:r>
          </w:p>
        </w:tc>
        <w:tc>
          <w:tcPr>
            <w:tcW w:type="dxa" w:w="4968"/>
            <w:vAlign w:val="center"/>
            <w:tcBorders>
              <w:top w:val="single" w:sz="4" w:color="D7DFEA"/>
              <w:left w:val="single" w:sz="4" w:color="D7DFEA"/>
              <w:bottom w:val="single" w:sz="4" w:color="D7DFEA"/>
              <w:right w:val="single" w:sz="4" w:color="D7DFEA"/>
            </w:tcBorders>
          </w:tcPr>
          <w:p>
            <w:r>
              <w:t>Controlled final draft for implementation / legal sign-off</w:t>
            </w:r>
          </w:p>
        </w:tc>
      </w:tr>
    </w:tbl>
    <w:p/>
    <w:p>
      <w:pPr>
        <w:pStyle w:val="Heading1"/>
      </w:pPr>
      <w:r>
        <w:t>1. Purpose</w:t>
      </w:r>
    </w:p>
    <w:p>
      <w:r>
        <w:t>This document defines the operating rules for the EduCardX AI Mentor, its RAG system, controlled tools and separate ML prediction services. It is the top-level AI behaviour policy for the knowledge documents in this package.</w:t>
      </w:r>
    </w:p>
    <w:p>
      <w:pPr>
        <w:pStyle w:val="Heading1"/>
      </w:pPr>
      <w:r>
        <w:t>2. Reference architecture</w:t>
      </w:r>
    </w:p>
    <w:p>
      <w:r>
        <w:t>Flutter App -&gt; AI Mentor API (authentication, rate limits) -&gt; Agent Orchestrator -&gt; LLM + RAG + Tools -&gt; ML Prediction Layer / Policy-Safety Engine -&gt; grounded response. The LLM is the conversational layer; EduCardX-owned orchestration, approved data and backend tools are the source of truth for current product facts.</w:t>
      </w:r>
    </w:p>
    <w:p>
      <w:pPr>
        <w:pStyle w:val="Heading1"/>
      </w:pPr>
      <w:r>
        <w:t>3. LLM role</w:t>
      </w:r>
    </w:p>
    <w:p>
      <w:r>
        <w:t>The LLM interprets questions, conducts conversation, chooses approved tools, combines retrieved information and explains model outputs. It must not be treated as the source of truth for financial numbers, account status, lender terms or prediction values.</w:t>
      </w:r>
    </w:p>
    <w:p>
      <w:pPr>
        <w:pStyle w:val="Heading1"/>
      </w:pPr>
      <w:r>
        <w:t>4. Required controlled tools</w:t>
      </w:r>
    </w:p>
    <w:p>
      <w:pPr>
        <w:pStyle w:val="ListBullet"/>
      </w:pPr>
      <w:r>
        <w:t>getStudentProfile()</w:t>
      </w:r>
    </w:p>
    <w:p>
      <w:pPr>
        <w:pStyle w:val="ListBullet"/>
      </w:pPr>
      <w:r>
        <w:t>getAcademicProfile()</w:t>
      </w:r>
    </w:p>
    <w:p>
      <w:pPr>
        <w:pStyle w:val="ListBullet"/>
      </w:pPr>
      <w:r>
        <w:t>getFinancialProfile()</w:t>
      </w:r>
    </w:p>
    <w:p>
      <w:pPr>
        <w:pStyle w:val="ListBullet"/>
      </w:pPr>
      <w:r>
        <w:t>getKYCStatus()</w:t>
      </w:r>
    </w:p>
    <w:p>
      <w:pPr>
        <w:pStyle w:val="ListBullet"/>
      </w:pPr>
      <w:r>
        <w:t>getLoanStatus()</w:t>
      </w:r>
    </w:p>
    <w:p>
      <w:pPr>
        <w:pStyle w:val="ListBullet"/>
      </w:pPr>
      <w:r>
        <w:t>getRepaymentStatus()</w:t>
      </w:r>
    </w:p>
    <w:p>
      <w:pPr>
        <w:pStyle w:val="ListBullet"/>
      </w:pPr>
      <w:r>
        <w:t>calculateEMI()</w:t>
      </w:r>
    </w:p>
    <w:p>
      <w:pPr>
        <w:pStyle w:val="ListBullet"/>
      </w:pPr>
      <w:r>
        <w:t>getCreditHealth()</w:t>
      </w:r>
    </w:p>
    <w:p>
      <w:pPr>
        <w:pStyle w:val="ListBullet"/>
      </w:pPr>
      <w:r>
        <w:t>getTransactions()</w:t>
      </w:r>
    </w:p>
    <w:p>
      <w:pPr>
        <w:pStyle w:val="ListBullet"/>
      </w:pPr>
      <w:r>
        <w:t>analyzeExpenses()</w:t>
      </w:r>
    </w:p>
    <w:p>
      <w:pPr>
        <w:pStyle w:val="ListBullet"/>
      </w:pPr>
      <w:r>
        <w:t>getPlacementPrediction()</w:t>
      </w:r>
    </w:p>
    <w:p>
      <w:pPr>
        <w:pStyle w:val="ListBullet"/>
      </w:pPr>
      <w:r>
        <w:t>getCareerProfile()</w:t>
      </w:r>
    </w:p>
    <w:p>
      <w:pPr>
        <w:pStyle w:val="ListBullet"/>
      </w:pPr>
      <w:r>
        <w:t>getSkillGaps()</w:t>
      </w:r>
    </w:p>
    <w:p>
      <w:pPr>
        <w:pStyle w:val="ListBullet"/>
      </w:pPr>
      <w:r>
        <w:t>compareColleges()</w:t>
      </w:r>
    </w:p>
    <w:p>
      <w:pPr>
        <w:pStyle w:val="ListBullet"/>
      </w:pPr>
      <w:r>
        <w:t>searchScholarships()</w:t>
      </w:r>
    </w:p>
    <w:p>
      <w:pPr>
        <w:pStyle w:val="ListBullet"/>
      </w:pPr>
      <w:r>
        <w:t>searchCourses()</w:t>
      </w:r>
    </w:p>
    <w:p>
      <w:pPr>
        <w:pStyle w:val="ListBullet"/>
      </w:pPr>
      <w:r>
        <w:t>searchMarketplace()</w:t>
      </w:r>
    </w:p>
    <w:p>
      <w:pPr>
        <w:pStyle w:val="ListBullet"/>
      </w:pPr>
      <w:r>
        <w:t>getCourseInformation()</w:t>
      </w:r>
    </w:p>
    <w:p>
      <w:pPr>
        <w:pStyle w:val="ListBullet"/>
      </w:pPr>
      <w:r>
        <w:t>createPlacementPlan()</w:t>
      </w:r>
    </w:p>
    <w:p>
      <w:pPr>
        <w:pStyle w:val="ListBullet"/>
      </w:pPr>
      <w:r>
        <w:t>createSavingsPlan()</w:t>
      </w:r>
    </w:p>
    <w:p>
      <w:pPr>
        <w:pStyle w:val="ListBullet"/>
      </w:pPr>
      <w:r>
        <w:t>createLearningPlan()</w:t>
      </w:r>
    </w:p>
    <w:p>
      <w:pPr>
        <w:pStyle w:val="Heading1"/>
      </w:pPr>
      <w:r>
        <w:t>5. Tool-selection rules</w:t>
      </w:r>
    </w:p>
    <w:p>
      <w:pPr>
        <w:pStyle w:val="ListBullet"/>
      </w:pPr>
      <w:r>
        <w:t>Policy question -&gt; current approved RAG document.</w:t>
      </w:r>
    </w:p>
    <w:p>
      <w:pPr>
        <w:pStyle w:val="ListBullet"/>
      </w:pPr>
      <w:r>
        <w:t>Live account/loan/repayment question -&gt; authorised backend tool.</w:t>
      </w:r>
    </w:p>
    <w:p>
      <w:pPr>
        <w:pStyle w:val="ListBullet"/>
      </w:pPr>
      <w:r>
        <w:t>EMI calculation -&gt; approved calculator or lender data.</w:t>
      </w:r>
    </w:p>
    <w:p>
      <w:pPr>
        <w:pStyle w:val="ListBullet"/>
      </w:pPr>
      <w:r>
        <w:t>Placement probability -&gt; placement ML service.</w:t>
      </w:r>
    </w:p>
    <w:p>
      <w:pPr>
        <w:pStyle w:val="ListBullet"/>
      </w:pPr>
      <w:r>
        <w:t>Risk/underwriting information -&gt; separate authorised risk service.</w:t>
      </w:r>
    </w:p>
    <w:p>
      <w:pPr>
        <w:pStyle w:val="ListBullet"/>
      </w:pPr>
      <w:r>
        <w:t>Scholarships/college/course -&gt; current structured data or approved search tools.</w:t>
      </w:r>
    </w:p>
    <w:p>
      <w:pPr>
        <w:pStyle w:val="ListBullet"/>
      </w:pPr>
      <w:r>
        <w:t>General educational question -&gt; LLM, constrained by safety/policy rules.</w:t>
      </w:r>
    </w:p>
    <w:p>
      <w:pPr>
        <w:pStyle w:val="Heading1"/>
      </w:pPr>
      <w:r>
        <w:t>6. RAG governance</w:t>
      </w:r>
    </w:p>
    <w:p>
      <w:r>
        <w:t>RAG documents must carry document_id, document_type, title, version, effective_date, expiry_date where applicable, country/state/jurisdiction, language, audience, status, source and updated_at. Retrieval must prefer the latest active approved version. Old versions remain for audit/history but should not be returned as current policy.</w:t>
      </w:r>
    </w:p>
    <w:p>
      <w:pPr>
        <w:pStyle w:val="Heading1"/>
      </w:pPr>
      <w:r>
        <w:t>7. Source hierarchy</w:t>
      </w:r>
    </w:p>
    <w:p>
      <w:pPr>
        <w:pStyle w:val="ListNumber"/>
      </w:pPr>
      <w:r>
        <w:t>Approved EduCardX legal/product documents.</w:t>
      </w:r>
    </w:p>
    <w:p>
      <w:pPr>
        <w:pStyle w:val="ListNumber"/>
      </w:pPr>
      <w:r>
        <w:t>Approved regulated-lender contractual/product documents.</w:t>
      </w:r>
    </w:p>
    <w:p>
      <w:pPr>
        <w:pStyle w:val="ListNumber"/>
      </w:pPr>
      <w:r>
        <w:t>Official regulator/government sources.</w:t>
      </w:r>
    </w:p>
    <w:p>
      <w:pPr>
        <w:pStyle w:val="ListNumber"/>
      </w:pPr>
      <w:r>
        <w:t>Approved EduCardX product guides.</w:t>
      </w:r>
    </w:p>
    <w:p>
      <w:pPr>
        <w:pStyle w:val="ListNumber"/>
      </w:pPr>
      <w:r>
        <w:t>Verified current structured data.</w:t>
      </w:r>
    </w:p>
    <w:p>
      <w:pPr>
        <w:pStyle w:val="ListNumber"/>
      </w:pPr>
      <w:r>
        <w:t>Approved educational content.</w:t>
      </w:r>
    </w:p>
    <w:p>
      <w:pPr>
        <w:pStyle w:val="ListNumber"/>
      </w:pPr>
      <w:r>
        <w:t>General model knowledge only where no authoritative current source is required.</w:t>
      </w:r>
    </w:p>
    <w:p>
      <w:pPr>
        <w:pStyle w:val="Heading1"/>
      </w:pPr>
      <w:r>
        <w:t>8. Hallucination control</w:t>
      </w:r>
    </w:p>
    <w:p>
      <w:pPr>
        <w:pStyle w:val="ListBullet"/>
      </w:pPr>
      <w:r>
        <w:t>Never invent fees, rates, APR, EMI, loan status, partner identities, deadlines, eligibility criteria or policy terms.</w:t>
      </w:r>
    </w:p>
    <w:p>
      <w:pPr>
        <w:pStyle w:val="ListBullet"/>
      </w:pPr>
      <w:r>
        <w:t>State when information is unavailable or stale.</w:t>
      </w:r>
    </w:p>
    <w:p>
      <w:pPr>
        <w:pStyle w:val="ListBullet"/>
      </w:pPr>
      <w:r>
        <w:t>Show document/version or tool context when the answer materially depends on current policy or data.</w:t>
      </w:r>
    </w:p>
    <w:p>
      <w:pPr>
        <w:pStyle w:val="ListBullet"/>
      </w:pPr>
      <w:r>
        <w:t>Keep a distinction between facts, calculations, model predictions and recommendations.</w:t>
      </w:r>
    </w:p>
    <w:p>
      <w:pPr>
        <w:pStyle w:val="Heading1"/>
      </w:pPr>
      <w:r>
        <w:t>9. Safety and financial boundary</w:t>
      </w:r>
    </w:p>
    <w:p>
      <w:r>
        <w:t>The AI Mentor may educate and explain. It must not independently approve/reject lending, issue a lender-controlled promise, impersonate a regulated entity, or create a contractual obligation. Any lender decision remains in the authorised lender workflow.</w:t>
      </w:r>
    </w:p>
    <w:p>
      <w:pPr>
        <w:pStyle w:val="Heading1"/>
      </w:pPr>
      <w:r>
        <w:t>10. Placement ML specification</w:t>
      </w:r>
    </w:p>
    <w:p>
      <w:r>
        <w:t>Placement prediction must be a separately governed binary or appropriately defined outcome model trained on properly labelled historical data. Baseline Logistic Regression should be compared with candidate tree-boosting models such as XGBoost, LightGBM and CatBoost. Model acceptance should be based on predictive performance, calibration, stability, data quality and responsible-use review rather than a fixed claim such as “90% accuracy”.</w:t>
      </w:r>
    </w:p>
    <w:p>
      <w:pPr>
        <w:pStyle w:val="Heading1"/>
      </w:pPr>
      <w:r>
        <w:t>11. Placement model output schema</w:t>
      </w:r>
    </w:p>
    <w:p>
      <w:r>
        <w:t>Required fields: placement_probability; readiness_score; strengths[]; gaps[]; model_version; prediction_timestamp; input_data_version. Optional fields may include confidence interval or explanation metadata where technically supported.</w:t>
      </w:r>
    </w:p>
    <w:p>
      <w:pPr>
        <w:pStyle w:val="Heading1"/>
      </w:pPr>
      <w:r>
        <w:t>12. Data and model controls</w:t>
      </w:r>
    </w:p>
    <w:p>
      <w:pPr>
        <w:pStyle w:val="ListBullet"/>
      </w:pPr>
      <w:r>
        <w:t>Define a single label and time horizon.</w:t>
      </w:r>
    </w:p>
    <w:p>
      <w:pPr>
        <w:pStyle w:val="ListBullet"/>
      </w:pPr>
      <w:r>
        <w:t>Keep training, validation and out-of-time test sets separate.</w:t>
      </w:r>
    </w:p>
    <w:p>
      <w:pPr>
        <w:pStyle w:val="ListBullet"/>
      </w:pPr>
      <w:r>
        <w:t>Version datasets, features, models and evaluation reports.</w:t>
      </w:r>
    </w:p>
    <w:p>
      <w:pPr>
        <w:pStyle w:val="ListBullet"/>
      </w:pPr>
      <w:r>
        <w:t>Monitor drift and performance after deployment.</w:t>
      </w:r>
    </w:p>
    <w:p>
      <w:pPr>
        <w:pStyle w:val="ListBullet"/>
      </w:pPr>
      <w:r>
        <w:t>Restrict sensitive features to those legitimately collected, necessary and approved.</w:t>
      </w:r>
    </w:p>
    <w:p>
      <w:pPr>
        <w:pStyle w:val="ListBullet"/>
      </w:pPr>
      <w:r>
        <w:t>Maintain human review / escalation for high-impact use cases as required by product governance.</w:t>
      </w:r>
    </w:p>
    <w:p>
      <w:pPr>
        <w:pStyle w:val="Heading1"/>
      </w:pPr>
      <w:r>
        <w:t>13. Memory</w:t>
      </w:r>
    </w:p>
    <w:p>
      <w:r>
        <w:t>Short-term memory is the active conversation. Long-term memory should store only useful structured context such as career_goal, target_role, preferred_location, target_salary, learning_goal, skill_gaps and active_plan. Do not retain full conversation history indefinitely merely because it is available.</w:t>
      </w:r>
    </w:p>
    <w:p>
      <w:pPr>
        <w:pStyle w:val="Heading1"/>
      </w:pPr>
      <w:r>
        <w:t>14. Voice</w:t>
      </w:r>
    </w:p>
    <w:p>
      <w:r>
        <w:t>Voice interactions must use the same AI Mentor agent as text: speech-to-text -&gt; same agent -&gt; RAG/tools/ML -&gt; response -&gt; text-to-speech. Voice is an input/output modality, not a separate policy brain.</w:t>
      </w:r>
    </w:p>
    <w:p>
      <w:pPr>
        <w:pStyle w:val="Heading1"/>
      </w:pPr>
      <w:r>
        <w:t>15. Production testing</w:t>
      </w:r>
    </w:p>
    <w:p>
      <w:pPr>
        <w:pStyle w:val="ListBullet"/>
      </w:pPr>
      <w:r>
        <w:t>Policy retrieval correctness.</w:t>
      </w:r>
    </w:p>
    <w:p>
      <w:pPr>
        <w:pStyle w:val="ListBullet"/>
      </w:pPr>
      <w:r>
        <w:t>Tool-routing correctness.</w:t>
      </w:r>
    </w:p>
    <w:p>
      <w:pPr>
        <w:pStyle w:val="ListBullet"/>
      </w:pPr>
      <w:r>
        <w:t>Financial calculation correctness.</w:t>
      </w:r>
    </w:p>
    <w:p>
      <w:pPr>
        <w:pStyle w:val="ListBullet"/>
      </w:pPr>
      <w:r>
        <w:t>Prediction consistency and model regression.</w:t>
      </w:r>
    </w:p>
    <w:p>
      <w:pPr>
        <w:pStyle w:val="ListBullet"/>
      </w:pPr>
      <w:r>
        <w:t>Security and authorisation.</w:t>
      </w:r>
    </w:p>
    <w:p>
      <w:pPr>
        <w:pStyle w:val="ListBullet"/>
      </w:pPr>
      <w:r>
        <w:t>Prompt injection and data-exfiltration resistance.</w:t>
      </w:r>
    </w:p>
    <w:p>
      <w:pPr>
        <w:pStyle w:val="ListBullet"/>
      </w:pPr>
      <w:r>
        <w:t>Latency and cost.</w:t>
      </w:r>
    </w:p>
    <w:p>
      <w:pPr>
        <w:pStyle w:val="ListBullet"/>
      </w:pPr>
      <w:r>
        <w:t>User-facing clarity and escalation behaviour.</w:t>
      </w:r>
    </w:p>
    <w:p>
      <w:pPr>
        <w:pStyle w:val="Heading1"/>
      </w:pPr>
      <w:r>
        <w:t>Regulatory / authoritative references</w:t>
      </w:r>
    </w:p>
    <w:p>
      <w:pPr>
        <w:pStyle w:val="ListBullet"/>
      </w:pPr>
      <w:r>
        <w:rPr>
          <w:b/>
        </w:rPr>
        <w:t xml:space="preserve">RBI — Reserve Bank of India (Digital Lending) Directions, 2025 / Annual Report discussion of finalised directions — </w:t>
      </w:r>
      <w:r>
        <w:t>https://www.rbi.org.in/</w:t>
      </w:r>
    </w:p>
    <w:p>
      <w:pPr>
        <w:pStyle w:val="ListBullet"/>
      </w:pPr>
      <w:r>
        <w:rPr>
          <w:b/>
        </w:rPr>
        <w:t xml:space="preserve">RBI — Reserve Bank of India (KYC) (Amendment) Directions, 2025, 12 June 2025 — </w:t>
      </w:r>
      <w:r>
        <w:t>https://www.rbi.org.in/scripts/NotificationUser.aspx?Id=12866</w:t>
      </w:r>
    </w:p>
    <w:p>
      <w:pPr>
        <w:pStyle w:val="ListBullet"/>
      </w:pPr>
      <w:r>
        <w:rPr>
          <w:b/>
        </w:rPr>
        <w:t xml:space="preserve">RBI — Key Facts Statement (KFS) framework / APR requirements — </w:t>
      </w:r>
      <w:r>
        <w:t>https://www.rbi.org.in/scripts/NotificationUser.aspx?Id=12827</w:t>
      </w:r>
    </w:p>
    <w:p>
      <w:pPr>
        <w:pStyle w:val="ListBullet"/>
      </w:pPr>
      <w:r>
        <w:rPr>
          <w:b/>
        </w:rPr>
        <w:t xml:space="preserve">MeitY — Digital Personal Data Protection Rules, 2025 — </w:t>
      </w:r>
      <w:r>
        <w:t>https://www.meity.gov.in/documents/act-and-policies/digital-personal-data-protection-rules-2025-gDOxUjMtQWa</w:t>
      </w:r>
    </w:p>
    <w:p>
      <w:r>
        <w:t>The references above support the regulatory framing used in this document. Product-specific facts, contractual allocations, fees, rates, partner identities and operational SLAs must come from the currently approved EduCardX source of truth before publication.</w:t>
      </w:r>
    </w:p>
    <w:p>
      <w:r>
        <w:t>Implementation rule: this document is authoritative only for the scope explicitly stated here. Where a product fact is not yet approved or changes over time, the AI must retrieve the latest approved structured record or document version rather than infer a value.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AI-OPS-012  |  Controlled draft — 04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EDUCARDX | AI + RAG CONTROLLED KNOWLEDGE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732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8B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1F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F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