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NexaCore Engineering Guidelines</w:t>
      </w:r>
    </w:p>
    <w:p>
      <w:pPr>
        <w:spacing w:after="100"/>
      </w:pPr>
      <w:r>
        <w:t>Document ID: NC-ENG-GDL-2026-08 | Version 4.2 | Effective 01 Aug 2026 | Owner: Platform Engineering</w:t>
      </w:r>
    </w:p>
    <w:p>
      <w:pPr>
        <w:spacing w:after="100"/>
      </w:pPr>
      <w:r>
        <w:t>Synthetic private company data created for RAG evaluation. It is not copied from a real organization.</w:t>
      </w:r>
    </w:p>
    <w:p>
      <w:pPr>
        <w:pStyle w:val="Heading1"/>
      </w:pPr>
      <w:r>
        <w:t>1. Engineering Operating Principles</w:t>
      </w:r>
    </w:p>
    <w:p>
      <w:pPr>
        <w:spacing w:after="100"/>
      </w:pPr>
      <w:r>
        <w:t>Engineering teams are expected to optimize for correctness, maintainability, security and operational reliability rather than short-term code volume. Every production change must have an identifiable owner and an auditable path from requirement to deployment.</w:t>
      </w:r>
    </w:p>
    <w:p>
      <w:pPr>
        <w:pStyle w:val="Heading2"/>
      </w:pPr>
      <w:r>
        <w:t>1.1 Quality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Expected behavior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3360"/>
            <w:vAlign w:val="top"/>
          </w:tcPr>
          <w:p>
            <w:r>
              <w:t>Correctness</w:t>
            </w:r>
          </w:p>
        </w:tc>
        <w:tc>
          <w:tcPr>
            <w:tcW w:type="dxa" w:w="3360"/>
            <w:vAlign w:val="top"/>
          </w:tcPr>
          <w:p>
            <w:r>
              <w:t>Tests cover business-critical paths</w:t>
            </w:r>
          </w:p>
        </w:tc>
        <w:tc>
          <w:tcPr>
            <w:tcW w:type="dxa" w:w="3360"/>
            <w:vAlign w:val="top"/>
          </w:tcPr>
          <w:p>
            <w:r>
              <w:t>Critical path test coverage ≥ 85%</w:t>
            </w:r>
          </w:p>
        </w:tc>
      </w:tr>
      <w:tr>
        <w:tc>
          <w:tcPr>
            <w:tcW w:type="dxa" w:w="3360"/>
            <w:vAlign w:val="top"/>
          </w:tcPr>
          <w:p>
            <w:r>
              <w:t>Reliability</w:t>
            </w:r>
          </w:p>
        </w:tc>
        <w:tc>
          <w:tcPr>
            <w:tcW w:type="dxa" w:w="3360"/>
            <w:vAlign w:val="top"/>
          </w:tcPr>
          <w:p>
            <w:r>
              <w:t>Services expose health/readiness signals</w:t>
            </w:r>
          </w:p>
        </w:tc>
        <w:tc>
          <w:tcPr>
            <w:tcW w:type="dxa" w:w="3360"/>
            <w:vAlign w:val="top"/>
          </w:tcPr>
          <w:p>
            <w:r>
              <w:t>SLO defined for production services</w:t>
            </w:r>
          </w:p>
        </w:tc>
      </w:tr>
      <w:tr>
        <w:tc>
          <w:tcPr>
            <w:tcW w:type="dxa" w:w="3360"/>
            <w:vAlign w:val="top"/>
          </w:tcPr>
          <w:p>
            <w:r>
              <w:t>Security</w:t>
            </w:r>
          </w:p>
        </w:tc>
        <w:tc>
          <w:tcPr>
            <w:tcW w:type="dxa" w:w="3360"/>
            <w:vAlign w:val="top"/>
          </w:tcPr>
          <w:p>
            <w:r>
              <w:t>Secrets and privileged operations use approved controls</w:t>
            </w:r>
          </w:p>
        </w:tc>
        <w:tc>
          <w:tcPr>
            <w:tcW w:type="dxa" w:w="3360"/>
            <w:vAlign w:val="top"/>
          </w:tcPr>
          <w:p>
            <w:r>
              <w:t>Zero hard-coded production secrets</w:t>
            </w:r>
          </w:p>
        </w:tc>
      </w:tr>
      <w:tr>
        <w:tc>
          <w:tcPr>
            <w:tcW w:type="dxa" w:w="3360"/>
            <w:vAlign w:val="top"/>
          </w:tcPr>
          <w:p>
            <w:r>
              <w:t>Maintainability</w:t>
            </w:r>
          </w:p>
        </w:tc>
        <w:tc>
          <w:tcPr>
            <w:tcW w:type="dxa" w:w="3360"/>
            <w:vAlign w:val="top"/>
          </w:tcPr>
          <w:p>
            <w:r>
              <w:t>Code follows repository conventions</w:t>
            </w:r>
          </w:p>
        </w:tc>
        <w:tc>
          <w:tcPr>
            <w:tcW w:type="dxa" w:w="3360"/>
            <w:vAlign w:val="top"/>
          </w:tcPr>
          <w:p>
            <w:r>
              <w:t>Review checklist + static analysis</w:t>
            </w:r>
          </w:p>
        </w:tc>
      </w:tr>
      <w:tr>
        <w:tc>
          <w:tcPr>
            <w:tcW w:type="dxa" w:w="3360"/>
            <w:vAlign w:val="top"/>
          </w:tcPr>
          <w:p>
            <w:r>
              <w:t>Observability</w:t>
            </w:r>
          </w:p>
        </w:tc>
        <w:tc>
          <w:tcPr>
            <w:tcW w:type="dxa" w:w="3360"/>
            <w:vAlign w:val="top"/>
          </w:tcPr>
          <w:p>
            <w:r>
              <w:t>Failures produce actionable telemetry</w:t>
            </w:r>
          </w:p>
        </w:tc>
        <w:tc>
          <w:tcPr>
            <w:tcW w:type="dxa" w:w="3360"/>
            <w:vAlign w:val="top"/>
          </w:tcPr>
          <w:p>
            <w:r>
              <w:t>Logs + metrics + traces where applicable</w:t>
            </w:r>
          </w:p>
        </w:tc>
      </w:tr>
    </w:tbl>
    <w:p>
      <w:pPr>
        <w:pStyle w:val="Heading2"/>
      </w:pPr>
      <w:r>
        <w:t>1.2 Repository standards</w:t>
      </w:r>
    </w:p>
    <w:p>
      <w:pPr>
        <w:pStyle w:val="ListBullet"/>
        <w:spacing w:after="40"/>
      </w:pPr>
      <w:r>
        <w:t>Every production repository must have an owner, README, license/notice file where required, dependency manifest and CI configuration.</w:t>
      </w:r>
    </w:p>
    <w:p>
      <w:pPr>
        <w:pStyle w:val="ListBullet"/>
        <w:spacing w:after="40"/>
      </w:pPr>
      <w:r>
        <w:t>Default branches are protected; direct pushes to protected production branches are prohibited.</w:t>
      </w:r>
    </w:p>
    <w:p>
      <w:pPr>
        <w:pStyle w:val="ListBullet"/>
        <w:spacing w:after="40"/>
      </w:pPr>
      <w:r>
        <w:t>Commit messages should identify the intent of a change. Squashed merge commits should reference the ticket or change request.</w:t>
      </w:r>
    </w:p>
    <w:p>
      <w:pPr>
        <w:pStyle w:val="ListBullet"/>
        <w:spacing w:after="40"/>
      </w:pPr>
      <w:r>
        <w:t>Repository secrets must never be committed, including local development credentials copied into configuration files.</w:t>
      </w:r>
    </w:p>
    <w:p>
      <w:pPr>
        <w:pStyle w:val="ListBullet"/>
        <w:spacing w:after="40"/>
      </w:pPr>
      <w:r>
        <w:t>Generated artifacts should be separated from source code and must not be committed unless the repository explicitly requires them.</w:t>
      </w:r>
    </w:p>
    <w:p>
      <w:pPr>
        <w:pStyle w:val="Heading2"/>
      </w:pPr>
      <w:r>
        <w:t>1.3 Definition of done</w:t>
      </w:r>
    </w:p>
    <w:p>
      <w:pPr>
        <w:spacing w:after="100"/>
      </w:pPr>
      <w:r>
        <w:t>A change is considered complete only when implementation, tests, review, documentation, monitoring impact and deployment notes are addressed. For customer-impacting changes, rollback or mitigation steps must be documented before production approval.</w:t>
      </w:r>
    </w:p>
    <w:p>
      <w:r>
        <w:br w:type="page"/>
      </w:r>
    </w:p>
    <w:p>
      <w:pPr>
        <w:pStyle w:val="Heading1"/>
      </w:pPr>
      <w:r>
        <w:t>2. Code Review and Branching</w:t>
      </w:r>
    </w:p>
    <w:p>
      <w:pPr>
        <w:pStyle w:val="Heading2"/>
      </w:pPr>
      <w:r>
        <w:t>2.1 Branch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360"/>
            <w:vAlign w:val="top"/>
          </w:tcPr>
          <w:p>
            <w:r>
              <w:t>Feature</w:t>
            </w:r>
          </w:p>
        </w:tc>
        <w:tc>
          <w:tcPr>
            <w:tcW w:type="dxa" w:w="3360"/>
            <w:vAlign w:val="top"/>
          </w:tcPr>
          <w:p>
            <w:r>
              <w:t>feature/&lt;ticket&gt;-&lt;short-name&gt;</w:t>
            </w:r>
          </w:p>
        </w:tc>
        <w:tc>
          <w:tcPr>
            <w:tcW w:type="dxa" w:w="3360"/>
            <w:vAlign w:val="top"/>
          </w:tcPr>
          <w:p>
            <w:r>
              <w:t>feature/ENG-1842-rate-limit</w:t>
            </w:r>
          </w:p>
        </w:tc>
      </w:tr>
      <w:tr>
        <w:tc>
          <w:tcPr>
            <w:tcW w:type="dxa" w:w="3360"/>
            <w:vAlign w:val="top"/>
          </w:tcPr>
          <w:p>
            <w:r>
              <w:t>Bug fix</w:t>
            </w:r>
          </w:p>
        </w:tc>
        <w:tc>
          <w:tcPr>
            <w:tcW w:type="dxa" w:w="3360"/>
            <w:vAlign w:val="top"/>
          </w:tcPr>
          <w:p>
            <w:r>
              <w:t>fix/&lt;ticket&gt;-&lt;short-name&gt;</w:t>
            </w:r>
          </w:p>
        </w:tc>
        <w:tc>
          <w:tcPr>
            <w:tcW w:type="dxa" w:w="3360"/>
            <w:vAlign w:val="top"/>
          </w:tcPr>
          <w:p>
            <w:r>
              <w:t>fix/ENG-1910-null-cache</w:t>
            </w:r>
          </w:p>
        </w:tc>
      </w:tr>
      <w:tr>
        <w:tc>
          <w:tcPr>
            <w:tcW w:type="dxa" w:w="3360"/>
            <w:vAlign w:val="top"/>
          </w:tcPr>
          <w:p>
            <w:r>
              <w:t>Hotfix</w:t>
            </w:r>
          </w:p>
        </w:tc>
        <w:tc>
          <w:tcPr>
            <w:tcW w:type="dxa" w:w="3360"/>
            <w:vAlign w:val="top"/>
          </w:tcPr>
          <w:p>
            <w:r>
              <w:t>hotfix/&lt;incident&gt;-&lt;short-name&gt;</w:t>
            </w:r>
          </w:p>
        </w:tc>
        <w:tc>
          <w:tcPr>
            <w:tcW w:type="dxa" w:w="3360"/>
            <w:vAlign w:val="top"/>
          </w:tcPr>
          <w:p>
            <w:r>
              <w:t>hotfix/INC-773-auth-timeout</w:t>
            </w:r>
          </w:p>
        </w:tc>
      </w:tr>
      <w:tr>
        <w:tc>
          <w:tcPr>
            <w:tcW w:type="dxa" w:w="3360"/>
            <w:vAlign w:val="top"/>
          </w:tcPr>
          <w:p>
            <w:r>
              <w:t>Chore</w:t>
            </w:r>
          </w:p>
        </w:tc>
        <w:tc>
          <w:tcPr>
            <w:tcW w:type="dxa" w:w="3360"/>
            <w:vAlign w:val="top"/>
          </w:tcPr>
          <w:p>
            <w:r>
              <w:t>chore/&lt;ticket&gt;-&lt;short-name&gt;</w:t>
            </w:r>
          </w:p>
        </w:tc>
        <w:tc>
          <w:tcPr>
            <w:tcW w:type="dxa" w:w="3360"/>
            <w:vAlign w:val="top"/>
          </w:tcPr>
          <w:p>
            <w:r>
              <w:t>chore/ENG-1820-upgrade-sdk</w:t>
            </w:r>
          </w:p>
        </w:tc>
      </w:tr>
    </w:tbl>
    <w:p>
      <w:pPr>
        <w:pStyle w:val="Heading2"/>
      </w:pPr>
      <w:r>
        <w:t>2.2 Review requirements</w:t>
      </w:r>
    </w:p>
    <w:p>
      <w:pPr>
        <w:pStyle w:val="ListBullet"/>
        <w:spacing w:after="40"/>
      </w:pPr>
      <w:r>
        <w:t>Normal production changes require at least 1 qualified reviewer.</w:t>
      </w:r>
    </w:p>
    <w:p>
      <w:pPr>
        <w:pStyle w:val="ListBullet"/>
        <w:spacing w:after="40"/>
      </w:pPr>
      <w:r>
        <w:t>Changes to authentication, authorization, secrets, payment logic or data-retention controls require 2 reviewers, including a domain owner where assigned.</w:t>
      </w:r>
    </w:p>
    <w:p>
      <w:pPr>
        <w:pStyle w:val="ListBullet"/>
        <w:spacing w:after="40"/>
      </w:pPr>
      <w:r>
        <w:t>Database migrations that can lock or rewrite large tables require an explicit migration plan and rollback/forward-fix strategy.</w:t>
      </w:r>
    </w:p>
    <w:p>
      <w:pPr>
        <w:pStyle w:val="ListBullet"/>
        <w:spacing w:after="40"/>
      </w:pPr>
      <w:r>
        <w:t>A reviewer should reject a change when requirements are unclear, tests are insufficient, security impact is unexplained, or operational ownership is missing.</w:t>
      </w:r>
    </w:p>
    <w:p>
      <w:pPr>
        <w:pStyle w:val="ListBullet"/>
        <w:spacing w:after="40"/>
      </w:pPr>
      <w:r>
        <w:t>Large pull requests above 800 changed lines should normally be split unless the change is generated, mechanical or migration-driven.</w:t>
      </w:r>
    </w:p>
    <w:p>
      <w:pPr>
        <w:pStyle w:val="Heading2"/>
      </w:pPr>
      <w:r>
        <w:t>2.3 Review turnaround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PR class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 first review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Escalation</w:t>
            </w:r>
          </w:p>
        </w:tc>
      </w:tr>
      <w:tr>
        <w:tc>
          <w:tcPr>
            <w:tcW w:type="dxa" w:w="3360"/>
            <w:vAlign w:val="top"/>
          </w:tcPr>
          <w:p>
            <w:r>
              <w:t>Routine</w:t>
            </w:r>
          </w:p>
        </w:tc>
        <w:tc>
          <w:tcPr>
            <w:tcW w:type="dxa" w:w="3360"/>
            <w:vAlign w:val="top"/>
          </w:tcPr>
          <w:p>
            <w:r>
              <w:t>Within 1 business day</w:t>
            </w:r>
          </w:p>
        </w:tc>
        <w:tc>
          <w:tcPr>
            <w:tcW w:type="dxa" w:w="3360"/>
            <w:vAlign w:val="top"/>
          </w:tcPr>
          <w:p>
            <w:r>
              <w:t>Team lead after 2 days</w:t>
            </w:r>
          </w:p>
        </w:tc>
      </w:tr>
      <w:tr>
        <w:tc>
          <w:tcPr>
            <w:tcW w:type="dxa" w:w="3360"/>
            <w:vAlign w:val="top"/>
          </w:tcPr>
          <w:p>
            <w:r>
              <w:t>High priority</w:t>
            </w:r>
          </w:p>
        </w:tc>
        <w:tc>
          <w:tcPr>
            <w:tcW w:type="dxa" w:w="3360"/>
            <w:vAlign w:val="top"/>
          </w:tcPr>
          <w:p>
            <w:r>
              <w:t>Within 4 working hours</w:t>
            </w:r>
          </w:p>
        </w:tc>
        <w:tc>
          <w:tcPr>
            <w:tcW w:type="dxa" w:w="3360"/>
            <w:vAlign w:val="top"/>
          </w:tcPr>
          <w:p>
            <w:r>
              <w:t>Engineering manager after 8 hours</w:t>
            </w:r>
          </w:p>
        </w:tc>
      </w:tr>
      <w:tr>
        <w:tc>
          <w:tcPr>
            <w:tcW w:type="dxa" w:w="3360"/>
            <w:vAlign w:val="top"/>
          </w:tcPr>
          <w:p>
            <w:r>
              <w:t>Hotfix</w:t>
            </w:r>
          </w:p>
        </w:tc>
        <w:tc>
          <w:tcPr>
            <w:tcW w:type="dxa" w:w="3360"/>
            <w:vAlign w:val="top"/>
          </w:tcPr>
          <w:p>
            <w:r>
              <w:t>Within 30 minutes</w:t>
            </w:r>
          </w:p>
        </w:tc>
        <w:tc>
          <w:tcPr>
            <w:tcW w:type="dxa" w:w="3360"/>
            <w:vAlign w:val="top"/>
          </w:tcPr>
          <w:p>
            <w:r>
              <w:t>On-call lead</w:t>
            </w:r>
          </w:p>
        </w:tc>
      </w:tr>
      <w:tr>
        <w:tc>
          <w:tcPr>
            <w:tcW w:type="dxa" w:w="3360"/>
            <w:vAlign w:val="top"/>
          </w:tcPr>
          <w:p>
            <w:r>
              <w:t>Security remediation</w:t>
            </w:r>
          </w:p>
        </w:tc>
        <w:tc>
          <w:tcPr>
            <w:tcW w:type="dxa" w:w="3360"/>
            <w:vAlign w:val="top"/>
          </w:tcPr>
          <w:p>
            <w:r>
              <w:t>Within 2 working hours</w:t>
            </w:r>
          </w:p>
        </w:tc>
        <w:tc>
          <w:tcPr>
            <w:tcW w:type="dxa" w:w="3360"/>
            <w:vAlign w:val="top"/>
          </w:tcPr>
          <w:p>
            <w:r>
              <w:t>Security engineering</w:t>
            </w:r>
          </w:p>
        </w:tc>
      </w:tr>
    </w:tbl>
    <w:p>
      <w:pPr>
        <w:pStyle w:val="Heading2"/>
      </w:pPr>
      <w:r>
        <w:t>2.4 Testing expectations</w:t>
      </w:r>
    </w:p>
    <w:p>
      <w:pPr>
        <w:spacing w:after="100"/>
      </w:pPr>
      <w:r>
        <w:t>Unit tests should validate deterministic business logic. Integration tests should cover service boundaries and persistence behavior. End-to-end tests should be reserved for critical user journeys because they carry higher runtime and maintenance cost.</w:t>
      </w:r>
    </w:p>
    <w:p>
      <w:r>
        <w:br w:type="page"/>
      </w:r>
    </w:p>
    <w:p>
      <w:pPr>
        <w:pStyle w:val="Heading1"/>
      </w:pPr>
      <w:r>
        <w:t>3. API, Data and Dependency Practices</w:t>
      </w:r>
    </w:p>
    <w:p>
      <w:pPr>
        <w:pStyle w:val="Heading2"/>
      </w:pPr>
      <w:r>
        <w:t>3.1 API implementation</w:t>
      </w:r>
    </w:p>
    <w:p>
      <w:pPr>
        <w:pStyle w:val="ListBullet"/>
        <w:spacing w:after="40"/>
      </w:pPr>
      <w:r>
        <w:t>API contracts must define authentication, request validation, response schema and error behavior.</w:t>
      </w:r>
    </w:p>
    <w:p>
      <w:pPr>
        <w:pStyle w:val="ListBullet"/>
        <w:spacing w:after="40"/>
      </w:pPr>
      <w:r>
        <w:t>Breaking changes require versioning or an approved compatibility migration.</w:t>
      </w:r>
    </w:p>
    <w:p>
      <w:pPr>
        <w:pStyle w:val="ListBullet"/>
        <w:spacing w:after="40"/>
      </w:pPr>
      <w:r>
        <w:t>Endpoints should reject unknown or invalid input rather than silently coercing unsafe values.</w:t>
      </w:r>
    </w:p>
    <w:p>
      <w:pPr>
        <w:pStyle w:val="ListBullet"/>
        <w:spacing w:after="40"/>
      </w:pPr>
      <w:r>
        <w:t>Pagination is required for collections that can exceed 100 records under expected production volume.</w:t>
      </w:r>
    </w:p>
    <w:p>
      <w:pPr>
        <w:pStyle w:val="ListBullet"/>
        <w:spacing w:after="40"/>
      </w:pPr>
      <w:r>
        <w:t>Request IDs must be propagated across service calls when supported by the platform.</w:t>
      </w:r>
    </w:p>
    <w:p>
      <w:pPr>
        <w:pStyle w:val="Heading2"/>
      </w:pPr>
      <w:r>
        <w:t>3.2 Database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Change type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Required control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Default deployment pattern</w:t>
            </w:r>
          </w:p>
        </w:tc>
      </w:tr>
      <w:tr>
        <w:tc>
          <w:tcPr>
            <w:tcW w:type="dxa" w:w="3360"/>
            <w:vAlign w:val="top"/>
          </w:tcPr>
          <w:p>
            <w:r>
              <w:t>Add nullable column</w:t>
            </w:r>
          </w:p>
        </w:tc>
        <w:tc>
          <w:tcPr>
            <w:tcW w:type="dxa" w:w="3360"/>
            <w:vAlign w:val="top"/>
          </w:tcPr>
          <w:p>
            <w:r>
              <w:t>Schema review</w:t>
            </w:r>
          </w:p>
        </w:tc>
        <w:tc>
          <w:tcPr>
            <w:tcW w:type="dxa" w:w="3360"/>
            <w:vAlign w:val="top"/>
          </w:tcPr>
          <w:p>
            <w:r>
              <w:t>Expand → deploy → backfill</w:t>
            </w:r>
          </w:p>
        </w:tc>
      </w:tr>
      <w:tr>
        <w:tc>
          <w:tcPr>
            <w:tcW w:type="dxa" w:w="3360"/>
            <w:vAlign w:val="top"/>
          </w:tcPr>
          <w:p>
            <w:r>
              <w:t>Add index</w:t>
            </w:r>
          </w:p>
        </w:tc>
        <w:tc>
          <w:tcPr>
            <w:tcW w:type="dxa" w:w="3360"/>
            <w:vAlign w:val="top"/>
          </w:tcPr>
          <w:p>
            <w:r>
              <w:t>Query impact review</w:t>
            </w:r>
          </w:p>
        </w:tc>
        <w:tc>
          <w:tcPr>
            <w:tcW w:type="dxa" w:w="3360"/>
            <w:vAlign w:val="top"/>
          </w:tcPr>
          <w:p>
            <w:r>
              <w:t>Online/low-lock method where supported</w:t>
            </w:r>
          </w:p>
        </w:tc>
      </w:tr>
      <w:tr>
        <w:tc>
          <w:tcPr>
            <w:tcW w:type="dxa" w:w="3360"/>
            <w:vAlign w:val="top"/>
          </w:tcPr>
          <w:p>
            <w:r>
              <w:t>Rename column</w:t>
            </w:r>
          </w:p>
        </w:tc>
        <w:tc>
          <w:tcPr>
            <w:tcW w:type="dxa" w:w="3360"/>
            <w:vAlign w:val="top"/>
          </w:tcPr>
          <w:p>
            <w:r>
              <w:t>Compatibility plan</w:t>
            </w:r>
          </w:p>
        </w:tc>
        <w:tc>
          <w:tcPr>
            <w:tcW w:type="dxa" w:w="3360"/>
            <w:vAlign w:val="top"/>
          </w:tcPr>
          <w:p>
            <w:r>
              <w:t>Dual-read/write → migrate → remove</w:t>
            </w:r>
          </w:p>
        </w:tc>
      </w:tr>
      <w:tr>
        <w:tc>
          <w:tcPr>
            <w:tcW w:type="dxa" w:w="3360"/>
            <w:vAlign w:val="top"/>
          </w:tcPr>
          <w:p>
            <w:r>
              <w:t>Delete column</w:t>
            </w:r>
          </w:p>
        </w:tc>
        <w:tc>
          <w:tcPr>
            <w:tcW w:type="dxa" w:w="3360"/>
            <w:vAlign w:val="top"/>
          </w:tcPr>
          <w:p>
            <w:r>
              <w:t>Usage evidence</w:t>
            </w:r>
          </w:p>
        </w:tc>
        <w:tc>
          <w:tcPr>
            <w:tcW w:type="dxa" w:w="3360"/>
            <w:vAlign w:val="top"/>
          </w:tcPr>
          <w:p>
            <w:r>
              <w:t>Deprecate → verify → remove</w:t>
            </w:r>
          </w:p>
        </w:tc>
      </w:tr>
      <w:tr>
        <w:tc>
          <w:tcPr>
            <w:tcW w:type="dxa" w:w="3360"/>
            <w:vAlign w:val="top"/>
          </w:tcPr>
          <w:p>
            <w:r>
              <w:t>Large backfill</w:t>
            </w:r>
          </w:p>
        </w:tc>
        <w:tc>
          <w:tcPr>
            <w:tcW w:type="dxa" w:w="3360"/>
            <w:vAlign w:val="top"/>
          </w:tcPr>
          <w:p>
            <w:r>
              <w:t>Capacity estimate</w:t>
            </w:r>
          </w:p>
        </w:tc>
        <w:tc>
          <w:tcPr>
            <w:tcW w:type="dxa" w:w="3360"/>
            <w:vAlign w:val="top"/>
          </w:tcPr>
          <w:p>
            <w:r>
              <w:t>Throttled batches + monitoring</w:t>
            </w:r>
          </w:p>
        </w:tc>
      </w:tr>
    </w:tbl>
    <w:p>
      <w:pPr>
        <w:pStyle w:val="Heading2"/>
      </w:pPr>
      <w:r>
        <w:t>3.3 Dependency management</w:t>
      </w:r>
    </w:p>
    <w:p>
      <w:pPr>
        <w:pStyle w:val="ListBullet"/>
        <w:spacing w:after="40"/>
      </w:pPr>
      <w:r>
        <w:t>Dependencies must use approved registries and lock files where the ecosystem supports them.</w:t>
      </w:r>
    </w:p>
    <w:p>
      <w:pPr>
        <w:pStyle w:val="ListBullet"/>
        <w:spacing w:after="40"/>
      </w:pPr>
      <w:r>
        <w:t>Critical vulnerabilities must be triaged within 24 hours of confirmed production exposure.</w:t>
      </w:r>
    </w:p>
    <w:p>
      <w:pPr>
        <w:pStyle w:val="ListBullet"/>
        <w:spacing w:after="40"/>
      </w:pPr>
      <w:r>
        <w:t>Major dependency upgrades require compatibility testing and release notes review.</w:t>
      </w:r>
    </w:p>
    <w:p>
      <w:pPr>
        <w:pStyle w:val="ListBullet"/>
        <w:spacing w:after="40"/>
      </w:pPr>
      <w:r>
        <w:t>Unused dependencies should be removed during quarterly repository hygiene reviews.</w:t>
      </w:r>
    </w:p>
    <w:p>
      <w:pPr>
        <w:pStyle w:val="Heading2"/>
      </w:pPr>
      <w:r>
        <w:t>3.4 Configuration</w:t>
      </w:r>
    </w:p>
    <w:p>
      <w:pPr>
        <w:spacing w:after="100"/>
      </w:pPr>
      <w:r>
        <w:t>Configuration should be externalized by environment. Local defaults must not accidentally point to production services. Production configuration changes should be auditable and should not require source-code modification unless the platform design explicitly requires it.</w:t>
      </w:r>
    </w:p>
    <w:p>
      <w:r>
        <w:br w:type="page"/>
      </w:r>
    </w:p>
    <w:p>
      <w:pPr>
        <w:pStyle w:val="Heading1"/>
      </w:pPr>
      <w:r>
        <w:t>4. Observability, Performance and Reliability</w:t>
      </w:r>
    </w:p>
    <w:p>
      <w:pPr>
        <w:pStyle w:val="Heading2"/>
      </w:pPr>
      <w:r>
        <w:t>4.1 Standard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Minimum requirement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Retention target</w:t>
            </w:r>
          </w:p>
        </w:tc>
      </w:tr>
      <w:tr>
        <w:tc>
          <w:tcPr>
            <w:tcW w:type="dxa" w:w="3360"/>
            <w:vAlign w:val="top"/>
          </w:tcPr>
          <w:p>
            <w:r>
              <w:t>Application logs</w:t>
            </w:r>
          </w:p>
        </w:tc>
        <w:tc>
          <w:tcPr>
            <w:tcW w:type="dxa" w:w="3360"/>
            <w:vAlign w:val="top"/>
          </w:tcPr>
          <w:p>
            <w:r>
              <w:t>Structured JSON + request/correlation ID</w:t>
            </w:r>
          </w:p>
        </w:tc>
        <w:tc>
          <w:tcPr>
            <w:tcW w:type="dxa" w:w="3360"/>
            <w:vAlign w:val="top"/>
          </w:tcPr>
          <w:p>
            <w:r>
              <w:t>30 days</w:t>
            </w:r>
          </w:p>
        </w:tc>
      </w:tr>
      <w:tr>
        <w:tc>
          <w:tcPr>
            <w:tcW w:type="dxa" w:w="3360"/>
            <w:vAlign w:val="top"/>
          </w:tcPr>
          <w:p>
            <w:r>
              <w:t>Metrics</w:t>
            </w:r>
          </w:p>
        </w:tc>
        <w:tc>
          <w:tcPr>
            <w:tcW w:type="dxa" w:w="3360"/>
            <w:vAlign w:val="top"/>
          </w:tcPr>
          <w:p>
            <w:r>
              <w:t>Latency, errors, throughput, saturation</w:t>
            </w:r>
          </w:p>
        </w:tc>
        <w:tc>
          <w:tcPr>
            <w:tcW w:type="dxa" w:w="3360"/>
            <w:vAlign w:val="top"/>
          </w:tcPr>
          <w:p>
            <w:r>
              <w:t>90 days</w:t>
            </w:r>
          </w:p>
        </w:tc>
      </w:tr>
      <w:tr>
        <w:tc>
          <w:tcPr>
            <w:tcW w:type="dxa" w:w="3360"/>
            <w:vAlign w:val="top"/>
          </w:tcPr>
          <w:p>
            <w:r>
              <w:t>Traces</w:t>
            </w:r>
          </w:p>
        </w:tc>
        <w:tc>
          <w:tcPr>
            <w:tcW w:type="dxa" w:w="3360"/>
            <w:vAlign w:val="top"/>
          </w:tcPr>
          <w:p>
            <w:r>
              <w:t>Critical distributed paths</w:t>
            </w:r>
          </w:p>
        </w:tc>
        <w:tc>
          <w:tcPr>
            <w:tcW w:type="dxa" w:w="3360"/>
            <w:vAlign w:val="top"/>
          </w:tcPr>
          <w:p>
            <w:r>
              <w:t>14 days</w:t>
            </w:r>
          </w:p>
        </w:tc>
      </w:tr>
      <w:tr>
        <w:tc>
          <w:tcPr>
            <w:tcW w:type="dxa" w:w="3360"/>
            <w:vAlign w:val="top"/>
          </w:tcPr>
          <w:p>
            <w:r>
              <w:t>Audit events</w:t>
            </w:r>
          </w:p>
        </w:tc>
        <w:tc>
          <w:tcPr>
            <w:tcW w:type="dxa" w:w="3360"/>
            <w:vAlign w:val="top"/>
          </w:tcPr>
          <w:p>
            <w:r>
              <w:t>Security-sensitive actions</w:t>
            </w:r>
          </w:p>
        </w:tc>
        <w:tc>
          <w:tcPr>
            <w:tcW w:type="dxa" w:w="3360"/>
            <w:vAlign w:val="top"/>
          </w:tcPr>
          <w:p>
            <w:r>
              <w:t>365 days</w:t>
            </w:r>
          </w:p>
        </w:tc>
      </w:tr>
    </w:tbl>
    <w:p>
      <w:pPr>
        <w:pStyle w:val="Heading2"/>
      </w:pPr>
      <w:r>
        <w:t>4.2 Performance budgets</w:t>
      </w:r>
    </w:p>
    <w:p>
      <w:pPr>
        <w:pStyle w:val="ListBullet"/>
        <w:spacing w:after="40"/>
      </w:pPr>
      <w:r>
        <w:t>Interactive API endpoints should target p95 latency below 500 ms for normal reads and below 800 ms for normal writes unless the contract specifies otherwise.</w:t>
      </w:r>
    </w:p>
    <w:p>
      <w:pPr>
        <w:pStyle w:val="ListBullet"/>
        <w:spacing w:after="40"/>
      </w:pPr>
      <w:r>
        <w:t>Background jobs must expose queue age and processing duration.</w:t>
      </w:r>
    </w:p>
    <w:p>
      <w:pPr>
        <w:pStyle w:val="ListBullet"/>
        <w:spacing w:after="40"/>
      </w:pPr>
      <w:r>
        <w:t>Services should define a resource saturation threshold before production launch; 80% sustained CPU or memory is a common review trigger, not a universal limit.</w:t>
      </w:r>
    </w:p>
    <w:p>
      <w:pPr>
        <w:pStyle w:val="ListBullet"/>
        <w:spacing w:after="40"/>
      </w:pPr>
      <w:r>
        <w:t>Performance regressions above 20% on a critical endpoint require investigation before release unless the change is explicitly accepted.</w:t>
      </w:r>
    </w:p>
    <w:p>
      <w:pPr>
        <w:pStyle w:val="Heading2"/>
      </w:pPr>
      <w:r>
        <w:t>4.3 Reliability targets</w:t>
      </w:r>
    </w:p>
    <w:p>
      <w:pPr>
        <w:spacing w:after="100"/>
      </w:pPr>
      <w:r>
        <w:t>Production services must document an SLO appropriate to business criticality. The current platform reference uses 99.9% monthly availability for Tier-1 APIs, 99.5% for Tier-2 services and best-effort targets for internal development tools.</w:t>
      </w:r>
    </w:p>
    <w:p>
      <w:pPr>
        <w:pStyle w:val="Heading2"/>
      </w:pPr>
      <w:r>
        <w:t>4.4 Incident learning</w:t>
      </w:r>
    </w:p>
    <w:p>
      <w:pPr>
        <w:pStyle w:val="ListBullet"/>
        <w:spacing w:after="40"/>
      </w:pPr>
      <w:r>
        <w:t>Incidents affecting customers or production data require a written post-incident review.</w:t>
      </w:r>
    </w:p>
    <w:p>
      <w:pPr>
        <w:pStyle w:val="ListBullet"/>
        <w:spacing w:after="40"/>
      </w:pPr>
      <w:r>
        <w:t>The review should identify timeline, impact, detection, contributing factors, corrective actions and owners.</w:t>
      </w:r>
    </w:p>
    <w:p>
      <w:pPr>
        <w:pStyle w:val="ListBullet"/>
        <w:spacing w:after="40"/>
      </w:pPr>
      <w:r>
        <w:t>Corrective actions should have target dates; recurring incidents are reviewed during the monthly reliability meeting.</w:t>
      </w:r>
    </w:p>
    <w:p>
      <w:r>
        <w:br w:type="page"/>
      </w:r>
    </w:p>
    <w:p>
      <w:pPr>
        <w:pStyle w:val="Heading1"/>
      </w:pPr>
      <w:r>
        <w:t>5. Security and Secure Development</w:t>
      </w:r>
    </w:p>
    <w:p>
      <w:pPr>
        <w:pStyle w:val="Heading2"/>
      </w:pPr>
      <w:r>
        <w:t>5.1 Secure coding controls</w:t>
      </w:r>
    </w:p>
    <w:p>
      <w:pPr>
        <w:pStyle w:val="ListBullet"/>
        <w:spacing w:after="40"/>
      </w:pPr>
      <w:r>
        <w:t>Validate input at the application boundary and enforce authorization at the resource boundary.</w:t>
      </w:r>
    </w:p>
    <w:p>
      <w:pPr>
        <w:pStyle w:val="ListBullet"/>
        <w:spacing w:after="40"/>
      </w:pPr>
      <w:r>
        <w:t>Do not log passwords, access tokens, session cookies, API keys or full payment-card information.</w:t>
      </w:r>
    </w:p>
    <w:p>
      <w:pPr>
        <w:pStyle w:val="ListBullet"/>
        <w:spacing w:after="40"/>
      </w:pPr>
      <w:r>
        <w:t>Use parameterized queries or approved ORM mechanisms instead of string-built SQL.</w:t>
      </w:r>
    </w:p>
    <w:p>
      <w:pPr>
        <w:pStyle w:val="ListBullet"/>
        <w:spacing w:after="40"/>
      </w:pPr>
      <w:r>
        <w:t>Cryptographic operations must use approved platform libraries; custom cryptography is prohibited.</w:t>
      </w:r>
    </w:p>
    <w:p>
      <w:pPr>
        <w:pStyle w:val="ListBullet"/>
        <w:spacing w:after="40"/>
      </w:pPr>
      <w:r>
        <w:t>Production secrets must be stored in the approved secret-management system.</w:t>
      </w:r>
    </w:p>
    <w:p>
      <w:pPr>
        <w:pStyle w:val="Heading2"/>
      </w:pPr>
      <w:r>
        <w:t>5.2 Security severity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Initial response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 remediation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Critical</w:t>
            </w:r>
          </w:p>
        </w:tc>
        <w:tc>
          <w:tcPr>
            <w:tcW w:type="dxa" w:w="3360"/>
            <w:vAlign w:val="top"/>
          </w:tcPr>
          <w:p>
            <w:r>
              <w:t>≤ 1 hour</w:t>
            </w:r>
          </w:p>
        </w:tc>
        <w:tc>
          <w:tcPr>
            <w:tcW w:type="dxa" w:w="3360"/>
            <w:vAlign w:val="top"/>
          </w:tcPr>
          <w:p>
            <w:r>
              <w:t>≤ 24 hours</w:t>
            </w:r>
          </w:p>
        </w:tc>
      </w:tr>
      <w:tr>
        <w:tc>
          <w:tcPr>
            <w:tcW w:type="dxa" w:w="3360"/>
            <w:vAlign w:val="top"/>
          </w:tcPr>
          <w:p>
            <w:r>
              <w:t>High</w:t>
            </w:r>
          </w:p>
        </w:tc>
        <w:tc>
          <w:tcPr>
            <w:tcW w:type="dxa" w:w="3360"/>
            <w:vAlign w:val="top"/>
          </w:tcPr>
          <w:p>
            <w:r>
              <w:t>≤ 4 hours</w:t>
            </w:r>
          </w:p>
        </w:tc>
        <w:tc>
          <w:tcPr>
            <w:tcW w:type="dxa" w:w="3360"/>
            <w:vAlign w:val="top"/>
          </w:tcPr>
          <w:p>
            <w:r>
              <w:t>≤ 7 calendar days</w:t>
            </w:r>
          </w:p>
        </w:tc>
      </w:tr>
      <w:tr>
        <w:tc>
          <w:tcPr>
            <w:tcW w:type="dxa" w:w="3360"/>
            <w:vAlign w:val="top"/>
          </w:tcPr>
          <w:p>
            <w:r>
              <w:t>Medium</w:t>
            </w:r>
          </w:p>
        </w:tc>
        <w:tc>
          <w:tcPr>
            <w:tcW w:type="dxa" w:w="3360"/>
            <w:vAlign w:val="top"/>
          </w:tcPr>
          <w:p>
            <w:r>
              <w:t>≤ 2 business days</w:t>
            </w:r>
          </w:p>
        </w:tc>
        <w:tc>
          <w:tcPr>
            <w:tcW w:type="dxa" w:w="3360"/>
            <w:vAlign w:val="top"/>
          </w:tcPr>
          <w:p>
            <w:r>
              <w:t>≤ 30 calendar days</w:t>
            </w:r>
          </w:p>
        </w:tc>
      </w:tr>
      <w:tr>
        <w:tc>
          <w:tcPr>
            <w:tcW w:type="dxa" w:w="3360"/>
            <w:vAlign w:val="top"/>
          </w:tcPr>
          <w:p>
            <w:r>
              <w:t>Low</w:t>
            </w:r>
          </w:p>
        </w:tc>
        <w:tc>
          <w:tcPr>
            <w:tcW w:type="dxa" w:w="3360"/>
            <w:vAlign w:val="top"/>
          </w:tcPr>
          <w:p>
            <w:r>
              <w:t>≤ 5 business days</w:t>
            </w:r>
          </w:p>
        </w:tc>
        <w:tc>
          <w:tcPr>
            <w:tcW w:type="dxa" w:w="3360"/>
            <w:vAlign w:val="top"/>
          </w:tcPr>
          <w:p>
            <w:r>
              <w:t>≤ 90 calendar days</w:t>
            </w:r>
          </w:p>
        </w:tc>
      </w:tr>
    </w:tbl>
    <w:p>
      <w:pPr>
        <w:pStyle w:val="Heading2"/>
      </w:pPr>
      <w:r>
        <w:t>5.3 Access control</w:t>
      </w:r>
    </w:p>
    <w:p>
      <w:pPr>
        <w:spacing w:after="100"/>
      </w:pPr>
      <w:r>
        <w:t>Engineering access follows least privilege. Production access is role-based, time-bounded where supported and logged. Developers should use non-production environments for debugging unless an approved production diagnostic procedure exists.</w:t>
      </w:r>
    </w:p>
    <w:p>
      <w:pPr>
        <w:pStyle w:val="Heading2"/>
      </w:pPr>
      <w:r>
        <w:t>5.4 Release gates</w:t>
      </w:r>
    </w:p>
    <w:p>
      <w:pPr>
        <w:pStyle w:val="ListBullet"/>
        <w:spacing w:after="40"/>
      </w:pPr>
      <w:r>
        <w:t>CI must pass before merge.</w:t>
      </w:r>
    </w:p>
    <w:p>
      <w:pPr>
        <w:pStyle w:val="ListBullet"/>
        <w:spacing w:after="40"/>
      </w:pPr>
      <w:r>
        <w:t>Required security scans must pass or have an approved exception.</w:t>
      </w:r>
    </w:p>
    <w:p>
      <w:pPr>
        <w:pStyle w:val="ListBullet"/>
        <w:spacing w:after="40"/>
      </w:pPr>
      <w:r>
        <w:t>Database migrations must complete successfully in the deployment sequence.</w:t>
      </w:r>
    </w:p>
    <w:p>
      <w:pPr>
        <w:pStyle w:val="ListBullet"/>
        <w:spacing w:after="40"/>
      </w:pPr>
      <w:r>
        <w:t>Smoke tests must pass after production rollout.</w:t>
      </w:r>
    </w:p>
    <w:p>
      <w:r>
        <w:br w:type="page"/>
      </w:r>
    </w:p>
    <w:p>
      <w:pPr>
        <w:pStyle w:val="Heading1"/>
      </w:pPr>
      <w:r>
        <w:t>6. Engineering Metrics and Governance</w:t>
      </w:r>
    </w:p>
    <w:p>
      <w:pPr>
        <w:pStyle w:val="Heading2"/>
      </w:pPr>
      <w:r>
        <w:t>6.1 FY26 engineering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FY26 value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Reference interpretation</w:t>
            </w:r>
          </w:p>
        </w:tc>
      </w:tr>
      <w:tr>
        <w:tc>
          <w:tcPr>
            <w:tcW w:type="dxa" w:w="3360"/>
            <w:vAlign w:val="top"/>
          </w:tcPr>
          <w:p>
            <w:r>
              <w:t>Production services</w:t>
            </w:r>
          </w:p>
        </w:tc>
        <w:tc>
          <w:tcPr>
            <w:tcW w:type="dxa" w:w="3360"/>
            <w:vAlign w:val="top"/>
          </w:tcPr>
          <w:p>
            <w:r>
              <w:t>42</w:t>
            </w:r>
          </w:p>
        </w:tc>
        <w:tc>
          <w:tcPr>
            <w:tcW w:type="dxa" w:w="3360"/>
            <w:vAlign w:val="top"/>
          </w:tcPr>
          <w:p>
            <w:r>
              <w:t>Services with active production ownership</w:t>
            </w:r>
          </w:p>
        </w:tc>
      </w:tr>
      <w:tr>
        <w:tc>
          <w:tcPr>
            <w:tcW w:type="dxa" w:w="3360"/>
            <w:vAlign w:val="top"/>
          </w:tcPr>
          <w:p>
            <w:r>
              <w:t>Tier-1 services</w:t>
            </w:r>
          </w:p>
        </w:tc>
        <w:tc>
          <w:tcPr>
            <w:tcW w:type="dxa" w:w="3360"/>
            <w:vAlign w:val="top"/>
          </w:tcPr>
          <w:p>
            <w:r>
              <w:t>11</w:t>
            </w:r>
          </w:p>
        </w:tc>
        <w:tc>
          <w:tcPr>
            <w:tcW w:type="dxa" w:w="3360"/>
            <w:vAlign w:val="top"/>
          </w:tcPr>
          <w:p>
            <w:r>
              <w:t>Customer/revenue/security critical</w:t>
            </w:r>
          </w:p>
        </w:tc>
      </w:tr>
      <w:tr>
        <w:tc>
          <w:tcPr>
            <w:tcW w:type="dxa" w:w="3360"/>
            <w:vAlign w:val="top"/>
          </w:tcPr>
          <w:p>
            <w:r>
              <w:t>Average deployment frequency</w:t>
            </w:r>
          </w:p>
        </w:tc>
        <w:tc>
          <w:tcPr>
            <w:tcW w:type="dxa" w:w="3360"/>
            <w:vAlign w:val="top"/>
          </w:tcPr>
          <w:p>
            <w:r>
              <w:t>8.7 / week</w:t>
            </w:r>
          </w:p>
        </w:tc>
        <w:tc>
          <w:tcPr>
            <w:tcW w:type="dxa" w:w="3360"/>
            <w:vAlign w:val="top"/>
          </w:tcPr>
          <w:p>
            <w:r>
              <w:t>Across production services</w:t>
            </w:r>
          </w:p>
        </w:tc>
      </w:tr>
      <w:tr>
        <w:tc>
          <w:tcPr>
            <w:tcW w:type="dxa" w:w="3360"/>
            <w:vAlign w:val="top"/>
          </w:tcPr>
          <w:p>
            <w:r>
              <w:t>Change failure rate</w:t>
            </w:r>
          </w:p>
        </w:tc>
        <w:tc>
          <w:tcPr>
            <w:tcW w:type="dxa" w:w="3360"/>
            <w:vAlign w:val="top"/>
          </w:tcPr>
          <w:p>
            <w:r>
              <w:t>7.4%</w:t>
            </w:r>
          </w:p>
        </w:tc>
        <w:tc>
          <w:tcPr>
            <w:tcW w:type="dxa" w:w="3360"/>
            <w:vAlign w:val="top"/>
          </w:tcPr>
          <w:p>
            <w:r>
              <w:t>Deployments requiring rollback/hotfix</w:t>
            </w:r>
          </w:p>
        </w:tc>
      </w:tr>
      <w:tr>
        <w:tc>
          <w:tcPr>
            <w:tcW w:type="dxa" w:w="3360"/>
            <w:vAlign w:val="top"/>
          </w:tcPr>
          <w:p>
            <w:r>
              <w:t>Median lead time</w:t>
            </w:r>
          </w:p>
        </w:tc>
        <w:tc>
          <w:tcPr>
            <w:tcW w:type="dxa" w:w="3360"/>
            <w:vAlign w:val="top"/>
          </w:tcPr>
          <w:p>
            <w:r>
              <w:t>19.6 hours</w:t>
            </w:r>
          </w:p>
        </w:tc>
        <w:tc>
          <w:tcPr>
            <w:tcW w:type="dxa" w:w="3360"/>
            <w:vAlign w:val="top"/>
          </w:tcPr>
          <w:p>
            <w:r>
              <w:t>Commit/merge to production</w:t>
            </w:r>
          </w:p>
        </w:tc>
      </w:tr>
      <w:tr>
        <w:tc>
          <w:tcPr>
            <w:tcW w:type="dxa" w:w="3360"/>
            <w:vAlign w:val="top"/>
          </w:tcPr>
          <w:p>
            <w:r>
              <w:t>Critical vulnerabilities overdue</w:t>
            </w:r>
          </w:p>
        </w:tc>
        <w:tc>
          <w:tcPr>
            <w:tcW w:type="dxa" w:w="3360"/>
            <w:vAlign w:val="top"/>
          </w:tcPr>
          <w:p>
            <w:r>
              <w:t>1</w:t>
            </w:r>
          </w:p>
        </w:tc>
        <w:tc>
          <w:tcPr>
            <w:tcW w:type="dxa" w:w="3360"/>
            <w:vAlign w:val="top"/>
          </w:tcPr>
          <w:p>
            <w:r>
              <w:t>At 31 Jul 2026</w:t>
            </w:r>
          </w:p>
        </w:tc>
      </w:tr>
      <w:tr>
        <w:tc>
          <w:tcPr>
            <w:tcW w:type="dxa" w:w="3360"/>
            <w:vAlign w:val="top"/>
          </w:tcPr>
          <w:p>
            <w:r>
              <w:t>Repositories with CODEOWNERS</w:t>
            </w:r>
          </w:p>
        </w:tc>
        <w:tc>
          <w:tcPr>
            <w:tcW w:type="dxa" w:w="3360"/>
            <w:vAlign w:val="top"/>
          </w:tcPr>
          <w:p>
            <w:r>
              <w:t>93%</w:t>
            </w:r>
          </w:p>
        </w:tc>
        <w:tc>
          <w:tcPr>
            <w:tcW w:type="dxa" w:w="3360"/>
            <w:vAlign w:val="top"/>
          </w:tcPr>
          <w:p>
            <w:r>
              <w:t>Engineering repositories</w:t>
            </w:r>
          </w:p>
        </w:tc>
      </w:tr>
      <w:tr>
        <w:tc>
          <w:tcPr>
            <w:tcW w:type="dxa" w:w="3360"/>
            <w:vAlign w:val="top"/>
          </w:tcPr>
          <w:p>
            <w:r>
              <w:t>Automated test suites</w:t>
            </w:r>
          </w:p>
        </w:tc>
        <w:tc>
          <w:tcPr>
            <w:tcW w:type="dxa" w:w="3360"/>
            <w:vAlign w:val="top"/>
          </w:tcPr>
          <w:p>
            <w:r>
              <w:t>187</w:t>
            </w:r>
          </w:p>
        </w:tc>
        <w:tc>
          <w:tcPr>
            <w:tcW w:type="dxa" w:w="3360"/>
            <w:vAlign w:val="top"/>
          </w:tcPr>
          <w:p>
            <w:r>
              <w:t>CI-managed suites</w:t>
            </w:r>
          </w:p>
        </w:tc>
      </w:tr>
    </w:tbl>
    <w:p>
      <w:pPr>
        <w:pStyle w:val="Heading2"/>
      </w:pPr>
      <w:r>
        <w:t>6.2 Governance cadence</w:t>
      </w:r>
    </w:p>
    <w:p>
      <w:pPr>
        <w:pStyle w:val="ListBullet"/>
        <w:spacing w:after="40"/>
      </w:pPr>
      <w:r>
        <w:t>Weekly engineering operations review: deployment health, incidents, change failures and capacity.</w:t>
      </w:r>
    </w:p>
    <w:p>
      <w:pPr>
        <w:pStyle w:val="ListBullet"/>
        <w:spacing w:after="40"/>
      </w:pPr>
      <w:r>
        <w:t>Monthly architecture review: major design changes, service boundaries and technical debt.</w:t>
      </w:r>
    </w:p>
    <w:p>
      <w:pPr>
        <w:pStyle w:val="ListBullet"/>
        <w:spacing w:after="40"/>
      </w:pPr>
      <w:r>
        <w:t>Quarterly dependency review: vulnerable packages, obsolete libraries and upgrade roadmap.</w:t>
      </w:r>
    </w:p>
    <w:p>
      <w:pPr>
        <w:pStyle w:val="ListBullet"/>
        <w:spacing w:after="40"/>
      </w:pPr>
      <w:r>
        <w:t>Semiannual repository ownership review: owners, escalation paths and business criticality.</w:t>
      </w:r>
    </w:p>
    <w:p>
      <w:pPr>
        <w:pStyle w:val="Heading2"/>
      </w:pPr>
      <w:r>
        <w:t>6.3 Exception management</w:t>
      </w:r>
    </w:p>
    <w:p>
      <w:pPr>
        <w:spacing w:after="100"/>
      </w:pPr>
      <w:r>
        <w:t>Engineering exceptions must include the affected system, requirement being waived, risk, compensating control, owner and expiry date. Permanent exceptions require an architecture or security decision record.</w:t>
      </w:r>
    </w:p>
    <w:p>
      <w:pPr>
        <w:spacing w:after="100"/>
      </w:pPr>
      <w:r>
        <w:t>Document control: NC-ENG-GDL-2026-08 | Version 4.2 | Next review 31 Jul 2027.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