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NexaCore Reimbursement Procedure</w:t>
      </w:r>
    </w:p>
    <w:p>
      <w:pPr>
        <w:spacing w:after="100"/>
      </w:pPr>
      <w:r>
        <w:t>Document ID: NC-FIN-REIM-2026-08 | Version 3.4 | Effective 01 Aug 2026 | Owner: Finance Operations</w:t>
      </w:r>
    </w:p>
    <w:p>
      <w:pPr>
        <w:spacing w:after="100"/>
      </w:pPr>
      <w:r>
        <w:t>Synthetic private-company document created for RAG evaluation; not sourced from a real company.</w:t>
      </w:r>
    </w:p>
    <w:p>
      <w:pPr>
        <w:pStyle w:val="Heading1"/>
      </w:pPr>
      <w:r>
        <w:t>1. Reimbursement Lifecycle</w:t>
      </w:r>
    </w:p>
    <w:p>
      <w:pPr>
        <w:spacing w:after="100"/>
      </w:pPr>
      <w:r>
        <w:t>The reimbursement process moves through five states: Draft → Submitted → Manager Approved → Finance Reviewed → Paid. A claim can be returned to Draft for correction when required evidence is missing.</w:t>
      </w:r>
    </w:p>
    <w:p>
      <w:pPr>
        <w:pStyle w:val="Heading2"/>
      </w:pPr>
      <w:r>
        <w:t>1.1 Standard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3360"/>
            <w:vAlign w:val="top"/>
          </w:tcPr>
          <w:p>
            <w:r>
              <w:t>Employee submission</w:t>
            </w:r>
          </w:p>
        </w:tc>
        <w:tc>
          <w:tcPr>
            <w:tcW w:type="dxa" w:w="3360"/>
            <w:vAlign w:val="top"/>
          </w:tcPr>
          <w:p>
            <w:r>
              <w:t>≤ 30 calendar days</w:t>
            </w:r>
          </w:p>
        </w:tc>
        <w:tc>
          <w:tcPr>
            <w:tcW w:type="dxa" w:w="3360"/>
            <w:vAlign w:val="top"/>
          </w:tcPr>
          <w:p>
            <w:r>
              <w:t>Employee</w:t>
            </w:r>
          </w:p>
        </w:tc>
      </w:tr>
      <w:tr>
        <w:tc>
          <w:tcPr>
            <w:tcW w:type="dxa" w:w="3360"/>
            <w:vAlign w:val="top"/>
          </w:tcPr>
          <w:p>
            <w:r>
              <w:t>Manager review</w:t>
            </w:r>
          </w:p>
        </w:tc>
        <w:tc>
          <w:tcPr>
            <w:tcW w:type="dxa" w:w="3360"/>
            <w:vAlign w:val="top"/>
          </w:tcPr>
          <w:p>
            <w:r>
              <w:t>≤ 3 business days</w:t>
            </w:r>
          </w:p>
        </w:tc>
        <w:tc>
          <w:tcPr>
            <w:tcW w:type="dxa" w:w="3360"/>
            <w:vAlign w:val="top"/>
          </w:tcPr>
          <w:p>
            <w:r>
              <w:t>Manager</w:t>
            </w:r>
          </w:p>
        </w:tc>
      </w:tr>
      <w:tr>
        <w:tc>
          <w:tcPr>
            <w:tcW w:type="dxa" w:w="3360"/>
            <w:vAlign w:val="top"/>
          </w:tcPr>
          <w:p>
            <w:r>
              <w:t>Finance review</w:t>
            </w:r>
          </w:p>
        </w:tc>
        <w:tc>
          <w:tcPr>
            <w:tcW w:type="dxa" w:w="3360"/>
            <w:vAlign w:val="top"/>
          </w:tcPr>
          <w:p>
            <w:r>
              <w:t>≤ 5 business days</w:t>
            </w:r>
          </w:p>
        </w:tc>
        <w:tc>
          <w:tcPr>
            <w:tcW w:type="dxa" w:w="3360"/>
            <w:vAlign w:val="top"/>
          </w:tcPr>
          <w:p>
            <w:r>
              <w:t>Finance</w:t>
            </w:r>
          </w:p>
        </w:tc>
      </w:tr>
      <w:tr>
        <w:tc>
          <w:tcPr>
            <w:tcW w:type="dxa" w:w="3360"/>
            <w:vAlign w:val="top"/>
          </w:tcPr>
          <w:p>
            <w:r>
              <w:t>Payment batch</w:t>
            </w:r>
          </w:p>
        </w:tc>
        <w:tc>
          <w:tcPr>
            <w:tcW w:type="dxa" w:w="3360"/>
            <w:vAlign w:val="top"/>
          </w:tcPr>
          <w:p>
            <w:r>
              <w:t>Next available payroll/AP batch</w:t>
            </w:r>
          </w:p>
        </w:tc>
        <w:tc>
          <w:tcPr>
            <w:tcW w:type="dxa" w:w="3360"/>
            <w:vAlign w:val="top"/>
          </w:tcPr>
          <w:p>
            <w:r>
              <w:t>Finance</w:t>
            </w:r>
          </w:p>
        </w:tc>
      </w:tr>
    </w:tbl>
    <w:p>
      <w:pPr>
        <w:pStyle w:val="Heading2"/>
      </w:pPr>
      <w:r>
        <w:t>1.2 Required claim fields</w:t>
      </w:r>
    </w:p>
    <w:p>
      <w:pPr>
        <w:pStyle w:val="ListBullet"/>
        <w:spacing w:after="40"/>
      </w:pPr>
      <w:r>
        <w:t>Employee ID and cost center</w:t>
      </w:r>
    </w:p>
    <w:p>
      <w:pPr>
        <w:pStyle w:val="ListBullet"/>
        <w:spacing w:after="40"/>
      </w:pPr>
      <w:r>
        <w:t>Expense date and merchant</w:t>
      </w:r>
    </w:p>
    <w:p>
      <w:pPr>
        <w:pStyle w:val="ListBullet"/>
        <w:spacing w:after="40"/>
      </w:pPr>
      <w:r>
        <w:t>Amount and currency</w:t>
      </w:r>
    </w:p>
    <w:p>
      <w:pPr>
        <w:pStyle w:val="ListBullet"/>
        <w:spacing w:after="40"/>
      </w:pPr>
      <w:r>
        <w:t>Business purpose</w:t>
      </w:r>
    </w:p>
    <w:p>
      <w:pPr>
        <w:pStyle w:val="ListBullet"/>
        <w:spacing w:after="40"/>
      </w:pPr>
      <w:r>
        <w:t>Expense category</w:t>
      </w:r>
    </w:p>
    <w:p>
      <w:pPr>
        <w:pStyle w:val="ListBullet"/>
        <w:spacing w:after="40"/>
      </w:pPr>
      <w:r>
        <w:t>Project/customer code where applicable</w:t>
      </w:r>
    </w:p>
    <w:p>
      <w:pPr>
        <w:pStyle w:val="ListBullet"/>
        <w:spacing w:after="40"/>
      </w:pPr>
      <w:r>
        <w:t>Receipt reference</w:t>
      </w:r>
    </w:p>
    <w:p>
      <w:pPr>
        <w:pStyle w:val="ListBullet"/>
        <w:spacing w:after="40"/>
      </w:pPr>
      <w:r>
        <w:t>Attendees for hospitality claims</w:t>
      </w:r>
    </w:p>
    <w:p>
      <w:r>
        <w:br w:type="page"/>
      </w:r>
    </w:p>
    <w:p>
      <w:pPr>
        <w:pStyle w:val="Heading1"/>
      </w:pPr>
      <w:r>
        <w:t>2. Receipt and Evidence Rules</w:t>
      </w:r>
    </w:p>
    <w:p>
      <w:pPr>
        <w:pStyle w:val="Heading2"/>
      </w:pPr>
      <w:r>
        <w:t>2.1 Receipt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Expense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Evidence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t>≤ INR 1,000</w:t>
            </w:r>
          </w:p>
        </w:tc>
        <w:tc>
          <w:tcPr>
            <w:tcW w:type="dxa" w:w="5040"/>
            <w:vAlign w:val="top"/>
          </w:tcPr>
          <w:p>
            <w:r>
              <w:t>Receipt preferred; category controls still apply</w:t>
            </w:r>
          </w:p>
        </w:tc>
      </w:tr>
      <w:tr>
        <w:tc>
          <w:tcPr>
            <w:tcW w:type="dxa" w:w="5040"/>
            <w:vAlign w:val="top"/>
          </w:tcPr>
          <w:p>
            <w:r>
              <w:t>&gt; INR 1,000</w:t>
            </w:r>
          </w:p>
        </w:tc>
        <w:tc>
          <w:tcPr>
            <w:tcW w:type="dxa" w:w="5040"/>
            <w:vAlign w:val="top"/>
          </w:tcPr>
          <w:p>
            <w:r>
              <w:t>Receipt mandatory</w:t>
            </w:r>
          </w:p>
        </w:tc>
      </w:tr>
      <w:tr>
        <w:tc>
          <w:tcPr>
            <w:tcW w:type="dxa" w:w="5040"/>
            <w:vAlign w:val="top"/>
          </w:tcPr>
          <w:p>
            <w:r>
              <w:t>Travel ticket</w:t>
            </w:r>
          </w:p>
        </w:tc>
        <w:tc>
          <w:tcPr>
            <w:tcW w:type="dxa" w:w="5040"/>
            <w:vAlign w:val="top"/>
          </w:tcPr>
          <w:p>
            <w:r>
              <w:t>Ticket/invoice mandatory</w:t>
            </w:r>
          </w:p>
        </w:tc>
      </w:tr>
      <w:tr>
        <w:tc>
          <w:tcPr>
            <w:tcW w:type="dxa" w:w="5040"/>
            <w:vAlign w:val="top"/>
          </w:tcPr>
          <w:p>
            <w:r>
              <w:t>Hotel</w:t>
            </w:r>
          </w:p>
        </w:tc>
        <w:tc>
          <w:tcPr>
            <w:tcW w:type="dxa" w:w="5040"/>
            <w:vAlign w:val="top"/>
          </w:tcPr>
          <w:p>
            <w:r>
              <w:t>Hotel invoice mandatory</w:t>
            </w:r>
          </w:p>
        </w:tc>
      </w:tr>
      <w:tr>
        <w:tc>
          <w:tcPr>
            <w:tcW w:type="dxa" w:w="5040"/>
            <w:vAlign w:val="top"/>
          </w:tcPr>
          <w:p>
            <w:r>
              <w:t>Client hospitality</w:t>
            </w:r>
          </w:p>
        </w:tc>
        <w:tc>
          <w:tcPr>
            <w:tcW w:type="dxa" w:w="5040"/>
            <w:vAlign w:val="top"/>
          </w:tcPr>
          <w:p>
            <w:r>
              <w:t>Receipt + attendees + business purpose</w:t>
            </w:r>
          </w:p>
        </w:tc>
      </w:tr>
      <w:tr>
        <w:tc>
          <w:tcPr>
            <w:tcW w:type="dxa" w:w="5040"/>
            <w:vAlign w:val="top"/>
          </w:tcPr>
          <w:p>
            <w:r>
              <w:t>Software subscription</w:t>
            </w:r>
          </w:p>
        </w:tc>
        <w:tc>
          <w:tcPr>
            <w:tcW w:type="dxa" w:w="5040"/>
            <w:vAlign w:val="top"/>
          </w:tcPr>
          <w:p>
            <w:r>
              <w:t>Invoice + subscription period</w:t>
            </w:r>
          </w:p>
        </w:tc>
      </w:tr>
    </w:tbl>
    <w:p>
      <w:pPr>
        <w:pStyle w:val="Heading2"/>
      </w:pPr>
      <w:r>
        <w:t>2.2 Missing receipts</w:t>
      </w:r>
    </w:p>
    <w:p>
      <w:pPr>
        <w:pStyle w:val="ListBullet"/>
        <w:spacing w:after="40"/>
      </w:pPr>
      <w:r>
        <w:t>Employee submits a missing-receipt explanation within 5 business days of Finance request.</w:t>
      </w:r>
    </w:p>
    <w:p>
      <w:pPr>
        <w:pStyle w:val="ListBullet"/>
        <w:spacing w:after="40"/>
      </w:pPr>
      <w:r>
        <w:t>The explanation must state merchant, date, amount, business purpose and reason the receipt is unavailable.</w:t>
      </w:r>
    </w:p>
    <w:p>
      <w:pPr>
        <w:pStyle w:val="ListBullet"/>
        <w:spacing w:after="40"/>
      </w:pPr>
      <w:r>
        <w:t>Repeated missing-receipt claims may be rejected even when individual claims are otherwise eligible.</w:t>
      </w:r>
    </w:p>
    <w:p>
      <w:pPr>
        <w:pStyle w:val="ListBullet"/>
        <w:spacing w:after="40"/>
      </w:pPr>
      <w:r>
        <w:t>Finance may request alternative evidence such as card statement or booking record.</w:t>
      </w:r>
    </w:p>
    <w:p>
      <w:pPr>
        <w:pStyle w:val="Heading2"/>
      </w:pPr>
      <w:r>
        <w:t>2.3 Duplicate prevention</w:t>
      </w:r>
    </w:p>
    <w:p>
      <w:pPr>
        <w:spacing w:after="100"/>
      </w:pPr>
      <w:r>
        <w:t>Finance checks claims against prior submissions using employee, merchant, date, amount and reference identifiers. A duplicate claim is held until the employee confirms whether the records represent separate legitimate transactions.</w:t>
      </w:r>
    </w:p>
    <w:p>
      <w:r>
        <w:br w:type="page"/>
      </w:r>
    </w:p>
    <w:p>
      <w:pPr>
        <w:pStyle w:val="Heading1"/>
      </w:pPr>
      <w:r>
        <w:t>3. Manager Review</w:t>
      </w:r>
    </w:p>
    <w:p>
      <w:pPr>
        <w:pStyle w:val="Heading2"/>
      </w:pPr>
      <w:r>
        <w:t>3.1 Manager checklist</w:t>
      </w:r>
    </w:p>
    <w:p>
      <w:pPr>
        <w:pStyle w:val="ListBullet"/>
        <w:spacing w:after="40"/>
      </w:pPr>
      <w:r>
        <w:t>Confirm the business purpose.</w:t>
      </w:r>
    </w:p>
    <w:p>
      <w:pPr>
        <w:pStyle w:val="ListBullet"/>
        <w:spacing w:after="40"/>
      </w:pPr>
      <w:r>
        <w:t>Confirm the expense belongs to the employee's cost center/project.</w:t>
      </w:r>
    </w:p>
    <w:p>
      <w:pPr>
        <w:pStyle w:val="ListBullet"/>
        <w:spacing w:after="40"/>
      </w:pPr>
      <w:r>
        <w:t>Check that the amount is reasonable and within policy.</w:t>
      </w:r>
    </w:p>
    <w:p>
      <w:pPr>
        <w:pStyle w:val="ListBullet"/>
        <w:spacing w:after="40"/>
      </w:pPr>
      <w:r>
        <w:t>Verify the claim is not a duplicate.</w:t>
      </w:r>
    </w:p>
    <w:p>
      <w:pPr>
        <w:pStyle w:val="ListBullet"/>
        <w:spacing w:after="40"/>
      </w:pPr>
      <w:r>
        <w:t>Confirm required evidence is attached.</w:t>
      </w:r>
    </w:p>
    <w:p>
      <w:pPr>
        <w:pStyle w:val="ListBullet"/>
        <w:spacing w:after="40"/>
      </w:pPr>
      <w:r>
        <w:t>Escalate exceptions rather than approving them informally.</w:t>
      </w:r>
    </w:p>
    <w:p>
      <w:pPr>
        <w:pStyle w:val="Heading2"/>
      </w:pPr>
      <w:r>
        <w:t>3.2 Approval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Claim value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Manager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Function budget owner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Finance</w:t>
            </w:r>
          </w:p>
        </w:tc>
      </w:tr>
      <w:tr>
        <w:tc>
          <w:tcPr>
            <w:tcW w:type="dxa" w:w="2520"/>
            <w:vAlign w:val="top"/>
          </w:tcPr>
          <w:p>
            <w:r>
              <w:t>≤ INR 10,000</w:t>
            </w:r>
          </w:p>
        </w:tc>
        <w:tc>
          <w:tcPr>
            <w:tcW w:type="dxa" w:w="2520"/>
            <w:vAlign w:val="top"/>
          </w:tcPr>
          <w:p>
            <w:r>
              <w:t>Required</w:t>
            </w:r>
          </w:p>
        </w:tc>
        <w:tc>
          <w:tcPr>
            <w:tcW w:type="dxa" w:w="2520"/>
            <w:vAlign w:val="top"/>
          </w:tcPr>
          <w:p>
            <w:r>
              <w:t>No</w:t>
            </w:r>
          </w:p>
        </w:tc>
        <w:tc>
          <w:tcPr>
            <w:tcW w:type="dxa" w:w="2520"/>
            <w:vAlign w:val="top"/>
          </w:tcPr>
          <w:p>
            <w:r>
              <w:t>Control review</w:t>
            </w:r>
          </w:p>
        </w:tc>
      </w:tr>
      <w:tr>
        <w:tc>
          <w:tcPr>
            <w:tcW w:type="dxa" w:w="2520"/>
            <w:vAlign w:val="top"/>
          </w:tcPr>
          <w:p>
            <w:r>
              <w:t>INR 10,001–50,000</w:t>
            </w:r>
          </w:p>
        </w:tc>
        <w:tc>
          <w:tcPr>
            <w:tcW w:type="dxa" w:w="2520"/>
            <w:vAlign w:val="top"/>
          </w:tcPr>
          <w:p>
            <w:r>
              <w:t>Required</w:t>
            </w:r>
          </w:p>
        </w:tc>
        <w:tc>
          <w:tcPr>
            <w:tcW w:type="dxa" w:w="2520"/>
            <w:vAlign w:val="top"/>
          </w:tcPr>
          <w:p>
            <w:r>
              <w:t>Required</w:t>
            </w:r>
          </w:p>
        </w:tc>
        <w:tc>
          <w:tcPr>
            <w:tcW w:type="dxa" w:w="2520"/>
            <w:vAlign w:val="top"/>
          </w:tcPr>
          <w:p>
            <w:r>
              <w:t>Control review</w:t>
            </w:r>
          </w:p>
        </w:tc>
      </w:tr>
      <w:tr>
        <w:tc>
          <w:tcPr>
            <w:tcW w:type="dxa" w:w="2520"/>
            <w:vAlign w:val="top"/>
          </w:tcPr>
          <w:p>
            <w:r>
              <w:t>INR 50,001–2,00,000</w:t>
            </w:r>
          </w:p>
        </w:tc>
        <w:tc>
          <w:tcPr>
            <w:tcW w:type="dxa" w:w="2520"/>
            <w:vAlign w:val="top"/>
          </w:tcPr>
          <w:p>
            <w:r>
              <w:t>Required</w:t>
            </w:r>
          </w:p>
        </w:tc>
        <w:tc>
          <w:tcPr>
            <w:tcW w:type="dxa" w:w="2520"/>
            <w:vAlign w:val="top"/>
          </w:tcPr>
          <w:p>
            <w:r>
              <w:t>Function head</w:t>
            </w:r>
          </w:p>
        </w:tc>
        <w:tc>
          <w:tcPr>
            <w:tcW w:type="dxa" w:w="2520"/>
            <w:vAlign w:val="top"/>
          </w:tcPr>
          <w:p>
            <w:r>
              <w:t>Required</w:t>
            </w:r>
          </w:p>
        </w:tc>
      </w:tr>
      <w:tr>
        <w:tc>
          <w:tcPr>
            <w:tcW w:type="dxa" w:w="2520"/>
            <w:vAlign w:val="top"/>
          </w:tcPr>
          <w:p>
            <w:r>
              <w:t>&gt; INR 2,00,000</w:t>
            </w:r>
          </w:p>
        </w:tc>
        <w:tc>
          <w:tcPr>
            <w:tcW w:type="dxa" w:w="2520"/>
            <w:vAlign w:val="top"/>
          </w:tcPr>
          <w:p>
            <w:r>
              <w:t>Required</w:t>
            </w:r>
          </w:p>
        </w:tc>
        <w:tc>
          <w:tcPr>
            <w:tcW w:type="dxa" w:w="2520"/>
            <w:vAlign w:val="top"/>
          </w:tcPr>
          <w:p>
            <w:r>
              <w:t>Function head</w:t>
            </w:r>
          </w:p>
        </w:tc>
        <w:tc>
          <w:tcPr>
            <w:tcW w:type="dxa" w:w="2520"/>
            <w:vAlign w:val="top"/>
          </w:tcPr>
          <w:p>
            <w:r>
              <w:t>CFO delegate + Finance</w:t>
            </w:r>
          </w:p>
        </w:tc>
      </w:tr>
    </w:tbl>
    <w:p>
      <w:pPr>
        <w:pStyle w:val="Heading2"/>
      </w:pPr>
      <w:r>
        <w:t>3.3 Conflict of interest</w:t>
      </w:r>
    </w:p>
    <w:p>
      <w:pPr>
        <w:spacing w:after="100"/>
      </w:pPr>
      <w:r>
        <w:t>A manager must not approve their own expense. When the manager is the claimant, approval routes to the manager's designated next-level approver.</w:t>
      </w:r>
    </w:p>
    <w:p>
      <w:r>
        <w:br w:type="page"/>
      </w:r>
    </w:p>
    <w:p>
      <w:pPr>
        <w:pStyle w:val="Heading1"/>
      </w:pPr>
      <w:r>
        <w:t>4. Finance Review and Payment</w:t>
      </w:r>
    </w:p>
    <w:p>
      <w:pPr>
        <w:pStyle w:val="Heading2"/>
      </w:pPr>
      <w:r>
        <w:t>4.1 Finance review checks</w:t>
      </w:r>
    </w:p>
    <w:p>
      <w:pPr>
        <w:pStyle w:val="ListBullet"/>
        <w:spacing w:after="40"/>
      </w:pPr>
      <w:r>
        <w:t>Policy eligibility and category mapping</w:t>
      </w:r>
    </w:p>
    <w:p>
      <w:pPr>
        <w:pStyle w:val="ListBullet"/>
        <w:spacing w:after="40"/>
      </w:pPr>
      <w:r>
        <w:t>Receipt integrity and legibility</w:t>
      </w:r>
    </w:p>
    <w:p>
      <w:pPr>
        <w:pStyle w:val="ListBullet"/>
        <w:spacing w:after="40"/>
      </w:pPr>
      <w:r>
        <w:t>Duplicate detection</w:t>
      </w:r>
    </w:p>
    <w:p>
      <w:pPr>
        <w:pStyle w:val="ListBullet"/>
        <w:spacing w:after="40"/>
      </w:pPr>
      <w:r>
        <w:t>Tax treatment where relevant</w:t>
      </w:r>
    </w:p>
    <w:p>
      <w:pPr>
        <w:pStyle w:val="ListBullet"/>
        <w:spacing w:after="40"/>
      </w:pPr>
      <w:r>
        <w:t>Cost center and budget availability</w:t>
      </w:r>
    </w:p>
    <w:p>
      <w:pPr>
        <w:pStyle w:val="ListBullet"/>
        <w:spacing w:after="40"/>
      </w:pPr>
      <w:r>
        <w:t>Approval completeness</w:t>
      </w:r>
    </w:p>
    <w:p>
      <w:pPr>
        <w:pStyle w:val="ListBullet"/>
        <w:spacing w:after="40"/>
      </w:pPr>
      <w:r>
        <w:t>Exception documentation</w:t>
      </w:r>
    </w:p>
    <w:p>
      <w:pPr>
        <w:pStyle w:val="Heading2"/>
      </w:pPr>
      <w:r>
        <w:t>4.2 Payment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Payment route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Typical timing</w:t>
            </w:r>
          </w:p>
        </w:tc>
        <w:tc>
          <w:tcPr>
            <w:tcW w:type="dxa" w:w="33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60"/>
            <w:vAlign w:val="top"/>
          </w:tcPr>
          <w:p>
            <w:r>
              <w:t>Payroll</w:t>
            </w:r>
          </w:p>
        </w:tc>
        <w:tc>
          <w:tcPr>
            <w:tcW w:type="dxa" w:w="3360"/>
            <w:vAlign w:val="top"/>
          </w:tcPr>
          <w:p>
            <w:r>
              <w:t>Monthly cycle</w:t>
            </w:r>
          </w:p>
        </w:tc>
        <w:tc>
          <w:tcPr>
            <w:tcW w:type="dxa" w:w="3360"/>
            <w:vAlign w:val="top"/>
          </w:tcPr>
          <w:p>
            <w:r>
              <w:t>Employee reimbursements linked to payroll</w:t>
            </w:r>
          </w:p>
        </w:tc>
      </w:tr>
      <w:tr>
        <w:tc>
          <w:tcPr>
            <w:tcW w:type="dxa" w:w="3360"/>
            <w:vAlign w:val="top"/>
          </w:tcPr>
          <w:p>
            <w:r>
              <w:t>Accounts Payable</w:t>
            </w:r>
          </w:p>
        </w:tc>
        <w:tc>
          <w:tcPr>
            <w:tcW w:type="dxa" w:w="3360"/>
            <w:vAlign w:val="top"/>
          </w:tcPr>
          <w:p>
            <w:r>
              <w:t>Scheduled AP run</w:t>
            </w:r>
          </w:p>
        </w:tc>
        <w:tc>
          <w:tcPr>
            <w:tcW w:type="dxa" w:w="3360"/>
            <w:vAlign w:val="top"/>
          </w:tcPr>
          <w:p>
            <w:r>
              <w:t>Used for approved non-payroll cases</w:t>
            </w:r>
          </w:p>
        </w:tc>
      </w:tr>
      <w:tr>
        <w:tc>
          <w:tcPr>
            <w:tcW w:type="dxa" w:w="3360"/>
            <w:vAlign w:val="top"/>
          </w:tcPr>
          <w:p>
            <w:r>
              <w:t>Urgent payment</w:t>
            </w:r>
          </w:p>
        </w:tc>
        <w:tc>
          <w:tcPr>
            <w:tcW w:type="dxa" w:w="3360"/>
            <w:vAlign w:val="top"/>
          </w:tcPr>
          <w:p>
            <w:r>
              <w:t>Case-based</w:t>
            </w:r>
          </w:p>
        </w:tc>
        <w:tc>
          <w:tcPr>
            <w:tcW w:type="dxa" w:w="3360"/>
            <w:vAlign w:val="top"/>
          </w:tcPr>
          <w:p>
            <w:r>
              <w:t>Finance manager approval required</w:t>
            </w:r>
          </w:p>
        </w:tc>
      </w:tr>
    </w:tbl>
    <w:p>
      <w:pPr>
        <w:pStyle w:val="Heading2"/>
      </w:pPr>
      <w:r>
        <w:t>4.3 Currency conversion</w:t>
      </w:r>
    </w:p>
    <w:p>
      <w:pPr>
        <w:spacing w:after="100"/>
      </w:pPr>
      <w:r>
        <w:t>Foreign expenses are converted using the approved corporate card statement rate where available. If a personal card was used, Finance may use the card statement rate or the published corporate conversion method for the transaction date.</w:t>
      </w:r>
    </w:p>
    <w:p>
      <w:pPr>
        <w:pStyle w:val="Heading2"/>
      </w:pPr>
      <w:r>
        <w:t>4.4 Rejected claims</w:t>
      </w:r>
    </w:p>
    <w:p>
      <w:pPr>
        <w:spacing w:after="100"/>
      </w:pPr>
      <w:r>
        <w:t>A rejected claim must include a reason code. Employees may correct and resubmit within 15 calendar days. A claim rejected for an ineligible category cannot become eligible merely by changing the category.</w:t>
      </w:r>
    </w:p>
    <w:p>
      <w:r>
        <w:br w:type="page"/>
      </w:r>
    </w:p>
    <w:p>
      <w:pPr>
        <w:pStyle w:val="Heading1"/>
      </w:pPr>
      <w:r>
        <w:t>5. Exceptions, Controls and Audit</w:t>
      </w:r>
    </w:p>
    <w:p>
      <w:pPr>
        <w:pStyle w:val="Heading2"/>
      </w:pPr>
      <w:r>
        <w:t>5.1 Common exception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Typical action</w:t>
            </w:r>
          </w:p>
        </w:tc>
      </w:tr>
      <w:tr>
        <w:tc>
          <w:tcPr>
            <w:tcW w:type="dxa" w:w="3360"/>
            <w:vAlign w:val="top"/>
          </w:tcPr>
          <w:p>
            <w:r>
              <w:t>EX01</w:t>
            </w:r>
          </w:p>
        </w:tc>
        <w:tc>
          <w:tcPr>
            <w:tcW w:type="dxa" w:w="3360"/>
            <w:vAlign w:val="top"/>
          </w:tcPr>
          <w:p>
            <w:r>
              <w:t>Missing receipt</w:t>
            </w:r>
          </w:p>
        </w:tc>
        <w:tc>
          <w:tcPr>
            <w:tcW w:type="dxa" w:w="3360"/>
            <w:vAlign w:val="top"/>
          </w:tcPr>
          <w:p>
            <w:r>
              <w:t>Return for evidence</w:t>
            </w:r>
          </w:p>
        </w:tc>
      </w:tr>
      <w:tr>
        <w:tc>
          <w:tcPr>
            <w:tcW w:type="dxa" w:w="3360"/>
            <w:vAlign w:val="top"/>
          </w:tcPr>
          <w:p>
            <w:r>
              <w:t>EX02</w:t>
            </w:r>
          </w:p>
        </w:tc>
        <w:tc>
          <w:tcPr>
            <w:tcW w:type="dxa" w:w="3360"/>
            <w:vAlign w:val="top"/>
          </w:tcPr>
          <w:p>
            <w:r>
              <w:t>Over limit</w:t>
            </w:r>
          </w:p>
        </w:tc>
        <w:tc>
          <w:tcPr>
            <w:tcW w:type="dxa" w:w="3360"/>
            <w:vAlign w:val="top"/>
          </w:tcPr>
          <w:p>
            <w:r>
              <w:t>Exception approval</w:t>
            </w:r>
          </w:p>
        </w:tc>
      </w:tr>
      <w:tr>
        <w:tc>
          <w:tcPr>
            <w:tcW w:type="dxa" w:w="3360"/>
            <w:vAlign w:val="top"/>
          </w:tcPr>
          <w:p>
            <w:r>
              <w:t>EX03</w:t>
            </w:r>
          </w:p>
        </w:tc>
        <w:tc>
          <w:tcPr>
            <w:tcW w:type="dxa" w:w="3360"/>
            <w:vAlign w:val="top"/>
          </w:tcPr>
          <w:p>
            <w:r>
              <w:t>Duplicate suspected</w:t>
            </w:r>
          </w:p>
        </w:tc>
        <w:tc>
          <w:tcPr>
            <w:tcW w:type="dxa" w:w="3360"/>
            <w:vAlign w:val="top"/>
          </w:tcPr>
          <w:p>
            <w:r>
              <w:t>Hold + investigation</w:t>
            </w:r>
          </w:p>
        </w:tc>
      </w:tr>
      <w:tr>
        <w:tc>
          <w:tcPr>
            <w:tcW w:type="dxa" w:w="3360"/>
            <w:vAlign w:val="top"/>
          </w:tcPr>
          <w:p>
            <w:r>
              <w:t>EX04</w:t>
            </w:r>
          </w:p>
        </w:tc>
        <w:tc>
          <w:tcPr>
            <w:tcW w:type="dxa" w:w="3360"/>
            <w:vAlign w:val="top"/>
          </w:tcPr>
          <w:p>
            <w:r>
              <w:t>Late submission</w:t>
            </w:r>
          </w:p>
        </w:tc>
        <w:tc>
          <w:tcPr>
            <w:tcW w:type="dxa" w:w="3360"/>
            <w:vAlign w:val="top"/>
          </w:tcPr>
          <w:p>
            <w:r>
              <w:t>Finance review</w:t>
            </w:r>
          </w:p>
        </w:tc>
      </w:tr>
      <w:tr>
        <w:tc>
          <w:tcPr>
            <w:tcW w:type="dxa" w:w="3360"/>
            <w:vAlign w:val="top"/>
          </w:tcPr>
          <w:p>
            <w:r>
              <w:t>EX05</w:t>
            </w:r>
          </w:p>
        </w:tc>
        <w:tc>
          <w:tcPr>
            <w:tcW w:type="dxa" w:w="3360"/>
            <w:vAlign w:val="top"/>
          </w:tcPr>
          <w:p>
            <w:r>
              <w:t>Unclear business purpose</w:t>
            </w:r>
          </w:p>
        </w:tc>
        <w:tc>
          <w:tcPr>
            <w:tcW w:type="dxa" w:w="3360"/>
            <w:vAlign w:val="top"/>
          </w:tcPr>
          <w:p>
            <w:r>
              <w:t>Manager clarification</w:t>
            </w:r>
          </w:p>
        </w:tc>
      </w:tr>
      <w:tr>
        <w:tc>
          <w:tcPr>
            <w:tcW w:type="dxa" w:w="3360"/>
            <w:vAlign w:val="top"/>
          </w:tcPr>
          <w:p>
            <w:r>
              <w:t>EX06</w:t>
            </w:r>
          </w:p>
        </w:tc>
        <w:tc>
          <w:tcPr>
            <w:tcW w:type="dxa" w:w="3360"/>
            <w:vAlign w:val="top"/>
          </w:tcPr>
          <w:p>
            <w:r>
              <w:t>Restricted category</w:t>
            </w:r>
          </w:p>
        </w:tc>
        <w:tc>
          <w:tcPr>
            <w:tcW w:type="dxa" w:w="3360"/>
            <w:vAlign w:val="top"/>
          </w:tcPr>
          <w:p>
            <w:r>
              <w:t>Finance/Compliance review</w:t>
            </w:r>
          </w:p>
        </w:tc>
      </w:tr>
    </w:tbl>
    <w:p>
      <w:pPr>
        <w:pStyle w:val="Heading2"/>
      </w:pPr>
      <w:r>
        <w:t>5.2 Control analytics</w:t>
      </w:r>
    </w:p>
    <w:p>
      <w:pPr>
        <w:pStyle w:val="ListBullet"/>
        <w:spacing w:after="40"/>
      </w:pPr>
      <w:r>
        <w:t>Finance reviews monthly spend by employee, merchant, cost center and category.</w:t>
      </w:r>
    </w:p>
    <w:p>
      <w:pPr>
        <w:pStyle w:val="ListBullet"/>
        <w:spacing w:after="40"/>
      </w:pPr>
      <w:r>
        <w:t>Claims over INR 50,000 receive enhanced review.</w:t>
      </w:r>
    </w:p>
    <w:p>
      <w:pPr>
        <w:pStyle w:val="ListBullet"/>
        <w:spacing w:after="40"/>
      </w:pPr>
      <w:r>
        <w:t>Unusual month-over-month category increases above 35% are reviewed by the budget owner.</w:t>
      </w:r>
    </w:p>
    <w:p>
      <w:pPr>
        <w:pStyle w:val="ListBullet"/>
        <w:spacing w:after="40"/>
      </w:pPr>
      <w:r>
        <w:t>Employees with three or more policy exceptions in a rolling quarter may be referred for policy coaching.</w:t>
      </w:r>
    </w:p>
    <w:p>
      <w:pPr>
        <w:pStyle w:val="Heading2"/>
      </w:pPr>
      <w:r>
        <w:t>5.3 Audit retention</w:t>
      </w:r>
    </w:p>
    <w:p>
      <w:pPr>
        <w:spacing w:after="100"/>
      </w:pPr>
      <w:r>
        <w:t>Finance retains reimbursement records according to the corporate record-retention schedule. Audit access is restricted and all administrative changes to approved claims are logged.</w:t>
      </w:r>
    </w:p>
    <w:p>
      <w:r>
        <w:br w:type="page"/>
      </w:r>
    </w:p>
    <w:p>
      <w:pPr>
        <w:pStyle w:val="Heading1"/>
      </w:pPr>
      <w:r>
        <w:t>6. FY26 Service Metrics and Operational Examples</w:t>
      </w:r>
    </w:p>
    <w:p>
      <w:pPr>
        <w:pStyle w:val="Heading2"/>
      </w:pPr>
      <w:r>
        <w:t>6.1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</w:tcPr>
          <w:p>
            <w:r>
              <w:rPr>
                <w:b/>
              </w:rPr>
              <w:t>FY26 value</w:t>
            </w:r>
          </w:p>
        </w:tc>
      </w:tr>
      <w:tr>
        <w:tc>
          <w:tcPr>
            <w:tcW w:type="dxa" w:w="5040"/>
            <w:vAlign w:val="top"/>
          </w:tcPr>
          <w:p>
            <w:r>
              <w:t>Claims processed</w:t>
            </w:r>
          </w:p>
        </w:tc>
        <w:tc>
          <w:tcPr>
            <w:tcW w:type="dxa" w:w="5040"/>
            <w:vAlign w:val="top"/>
          </w:tcPr>
          <w:p>
            <w:r>
              <w:t>8,462</w:t>
            </w:r>
          </w:p>
        </w:tc>
      </w:tr>
      <w:tr>
        <w:tc>
          <w:tcPr>
            <w:tcW w:type="dxa" w:w="5040"/>
            <w:vAlign w:val="top"/>
          </w:tcPr>
          <w:p>
            <w:r>
              <w:t>Median submission-to-payment time</w:t>
            </w:r>
          </w:p>
        </w:tc>
        <w:tc>
          <w:tcPr>
            <w:tcW w:type="dxa" w:w="5040"/>
            <w:vAlign w:val="top"/>
          </w:tcPr>
          <w:p>
            <w:r>
              <w:t>6.1 business days</w:t>
            </w:r>
          </w:p>
        </w:tc>
      </w:tr>
      <w:tr>
        <w:tc>
          <w:tcPr>
            <w:tcW w:type="dxa" w:w="5040"/>
            <w:vAlign w:val="top"/>
          </w:tcPr>
          <w:p>
            <w:r>
              <w:t>Manager SLA attainment</w:t>
            </w:r>
          </w:p>
        </w:tc>
        <w:tc>
          <w:tcPr>
            <w:tcW w:type="dxa" w:w="5040"/>
            <w:vAlign w:val="top"/>
          </w:tcPr>
          <w:p>
            <w:r>
              <w:t>91.8%</w:t>
            </w:r>
          </w:p>
        </w:tc>
      </w:tr>
      <w:tr>
        <w:tc>
          <w:tcPr>
            <w:tcW w:type="dxa" w:w="5040"/>
            <w:vAlign w:val="top"/>
          </w:tcPr>
          <w:p>
            <w:r>
              <w:t>Finance SLA attainment</w:t>
            </w:r>
          </w:p>
        </w:tc>
        <w:tc>
          <w:tcPr>
            <w:tcW w:type="dxa" w:w="5040"/>
            <w:vAlign w:val="top"/>
          </w:tcPr>
          <w:p>
            <w:r>
              <w:t>93.4%</w:t>
            </w:r>
          </w:p>
        </w:tc>
      </w:tr>
      <w:tr>
        <w:tc>
          <w:tcPr>
            <w:tcW w:type="dxa" w:w="5040"/>
            <w:vAlign w:val="top"/>
          </w:tcPr>
          <w:p>
            <w:r>
              <w:t>Claims paid without correction</w:t>
            </w:r>
          </w:p>
        </w:tc>
        <w:tc>
          <w:tcPr>
            <w:tcW w:type="dxa" w:w="5040"/>
            <w:vAlign w:val="top"/>
          </w:tcPr>
          <w:p>
            <w:r>
              <w:t>86.7%</w:t>
            </w:r>
          </w:p>
        </w:tc>
      </w:tr>
      <w:tr>
        <w:tc>
          <w:tcPr>
            <w:tcW w:type="dxa" w:w="5040"/>
            <w:vAlign w:val="top"/>
          </w:tcPr>
          <w:p>
            <w:r>
              <w:t>Duplicate detection rate</w:t>
            </w:r>
          </w:p>
        </w:tc>
        <w:tc>
          <w:tcPr>
            <w:tcW w:type="dxa" w:w="5040"/>
            <w:vAlign w:val="top"/>
          </w:tcPr>
          <w:p>
            <w:r>
              <w:t>1.49%</w:t>
            </w:r>
          </w:p>
        </w:tc>
      </w:tr>
      <w:tr>
        <w:tc>
          <w:tcPr>
            <w:tcW w:type="dxa" w:w="5040"/>
            <w:vAlign w:val="top"/>
          </w:tcPr>
          <w:p>
            <w:r>
              <w:t>Foreign-currency claims</w:t>
            </w:r>
          </w:p>
        </w:tc>
        <w:tc>
          <w:tcPr>
            <w:tcW w:type="dxa" w:w="5040"/>
            <w:vAlign w:val="top"/>
          </w:tcPr>
          <w:p>
            <w:r>
              <w:t>742</w:t>
            </w:r>
          </w:p>
        </w:tc>
      </w:tr>
      <w:tr>
        <w:tc>
          <w:tcPr>
            <w:tcW w:type="dxa" w:w="5040"/>
            <w:vAlign w:val="top"/>
          </w:tcPr>
          <w:p>
            <w:r>
              <w:t>Average claim value</w:t>
            </w:r>
          </w:p>
        </w:tc>
        <w:tc>
          <w:tcPr>
            <w:tcW w:type="dxa" w:w="5040"/>
            <w:vAlign w:val="top"/>
          </w:tcPr>
          <w:p>
            <w:r>
              <w:t>INR 2,210</w:t>
            </w:r>
          </w:p>
        </w:tc>
      </w:tr>
    </w:tbl>
    <w:p>
      <w:pPr>
        <w:pStyle w:val="Heading2"/>
      </w:pPr>
      <w:r>
        <w:t>6.2 Worked examples</w:t>
      </w:r>
    </w:p>
    <w:p>
      <w:pPr>
        <w:spacing w:after="100"/>
      </w:pPr>
      <w:r>
        <w:t>Example A: An employee submits INR 4,800 for a domestic hotel stay with invoice and approved travel request. The manager can approve; Finance verifies category, dates and evidence.</w:t>
      </w:r>
    </w:p>
    <w:p>
      <w:pPr>
        <w:spacing w:after="100"/>
      </w:pPr>
      <w:r>
        <w:t>Example B: An employee submits INR 58,000 for equipment without prior procurement approval. Finance returns the claim because the amount exceeds the normal threshold and procurement controls were bypassed.</w:t>
      </w:r>
    </w:p>
    <w:p>
      <w:pPr>
        <w:spacing w:after="100"/>
      </w:pPr>
      <w:r>
        <w:t>Example C: Two claims have the same merchant, date and amount but different receipt references. Finance holds the second claim for duplicate investigation rather than automatically rejecting it.</w:t>
      </w:r>
    </w:p>
    <w:p>
      <w:pPr>
        <w:pStyle w:val="Heading2"/>
      </w:pPr>
      <w:r>
        <w:t>Document control</w:t>
      </w:r>
    </w:p>
    <w:p>
      <w:pPr>
        <w:spacing w:after="100"/>
      </w:pPr>
      <w:r>
        <w:t>NC-FIN-REIM-2026-08 | Version 3.4 | Next review 31 Jul 2027.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