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NexaCore Remote Work Policy</w:t>
      </w:r>
    </w:p>
    <w:p>
      <w:pPr>
        <w:spacing w:after="100"/>
      </w:pPr>
      <w:r>
        <w:t>Policy ID: NC-HR-RW-2026-08 | Version 3.1 | Effective: 01 Aug 2026 | Owner: People Operations</w:t>
      </w:r>
    </w:p>
    <w:p>
      <w:pPr>
        <w:spacing w:after="100"/>
      </w:pPr>
      <w:r>
        <w:t>This document is synthetic internal company data created for RAG evaluation. It is not a real company's policy.</w:t>
      </w:r>
    </w:p>
    <w:p>
      <w:pPr>
        <w:pStyle w:val="Heading1"/>
      </w:pPr>
      <w:r>
        <w:t>1. Scope and Operating Model</w:t>
      </w:r>
    </w:p>
    <w:p>
      <w:pPr>
        <w:spacing w:after="100"/>
      </w:pPr>
      <w:r>
        <w:t>NexaCore uses a role-based hybrid model rather than a universal remote entitlement. The approved work mode is stored in the HRIS and reviewed when employees change roles, teams or locations.</w:t>
      </w:r>
    </w:p>
    <w:p>
      <w:pPr>
        <w:pStyle w:val="Heading2"/>
      </w:pPr>
      <w:r>
        <w:t>1.1 Work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Default office days</w:t>
            </w:r>
          </w:p>
        </w:tc>
        <w:tc>
          <w:tcPr>
            <w:tcW w:type="dxa" w:w="2520"/>
          </w:tcPr>
          <w:p>
            <w:r>
              <w:rPr>
                <w:b/>
              </w:rPr>
              <w:t>Remote days</w:t>
            </w:r>
          </w:p>
        </w:tc>
        <w:tc>
          <w:tcPr>
            <w:tcW w:type="dxa" w:w="2520"/>
          </w:tcPr>
          <w:p>
            <w:r>
              <w:rPr>
                <w:b/>
              </w:rPr>
              <w:t>Typical eligibility</w:t>
            </w:r>
          </w:p>
        </w:tc>
      </w:tr>
      <w:tr>
        <w:tc>
          <w:tcPr>
            <w:tcW w:type="dxa" w:w="2520"/>
            <w:vAlign w:val="top"/>
          </w:tcPr>
          <w:p>
            <w:r>
              <w:t>Office</w:t>
            </w:r>
          </w:p>
        </w:tc>
        <w:tc>
          <w:tcPr>
            <w:tcW w:type="dxa" w:w="2520"/>
            <w:vAlign w:val="top"/>
          </w:tcPr>
          <w:p>
            <w:r>
              <w:t>5</w:t>
            </w:r>
          </w:p>
        </w:tc>
        <w:tc>
          <w:tcPr>
            <w:tcW w:type="dxa" w:w="2520"/>
            <w:vAlign w:val="top"/>
          </w:tcPr>
          <w:p>
            <w:r>
              <w:t>0</w:t>
            </w:r>
          </w:p>
        </w:tc>
        <w:tc>
          <w:tcPr>
            <w:tcW w:type="dxa" w:w="2520"/>
            <w:vAlign w:val="top"/>
          </w:tcPr>
          <w:p>
            <w:r>
              <w:t>Lab, infrastructure and designated operational roles</w:t>
            </w:r>
          </w:p>
        </w:tc>
      </w:tr>
      <w:tr>
        <w:tc>
          <w:tcPr>
            <w:tcW w:type="dxa" w:w="2520"/>
            <w:vAlign w:val="top"/>
          </w:tcPr>
          <w:p>
            <w:r>
              <w:t>Hybrid</w:t>
            </w:r>
          </w:p>
        </w:tc>
        <w:tc>
          <w:tcPr>
            <w:tcW w:type="dxa" w:w="2520"/>
            <w:vAlign w:val="top"/>
          </w:tcPr>
          <w:p>
            <w:r>
              <w:t>3</w:t>
            </w:r>
          </w:p>
        </w:tc>
        <w:tc>
          <w:tcPr>
            <w:tcW w:type="dxa" w:w="2520"/>
            <w:vAlign w:val="top"/>
          </w:tcPr>
          <w:p>
            <w:r>
              <w:t>2</w:t>
            </w:r>
          </w:p>
        </w:tc>
        <w:tc>
          <w:tcPr>
            <w:tcW w:type="dxa" w:w="2520"/>
            <w:vAlign w:val="top"/>
          </w:tcPr>
          <w:p>
            <w:r>
              <w:t>Most engineering, product, finance and corporate roles</w:t>
            </w:r>
          </w:p>
        </w:tc>
      </w:tr>
      <w:tr>
        <w:tc>
          <w:tcPr>
            <w:tcW w:type="dxa" w:w="2520"/>
            <w:vAlign w:val="top"/>
          </w:tcPr>
          <w:p>
            <w:r>
              <w:t>Remote</w:t>
            </w:r>
          </w:p>
        </w:tc>
        <w:tc>
          <w:tcPr>
            <w:tcW w:type="dxa" w:w="2520"/>
            <w:vAlign w:val="top"/>
          </w:tcPr>
          <w:p>
            <w:r>
              <w:t>0–1</w:t>
            </w:r>
          </w:p>
        </w:tc>
        <w:tc>
          <w:tcPr>
            <w:tcW w:type="dxa" w:w="2520"/>
            <w:vAlign w:val="top"/>
          </w:tcPr>
          <w:p>
            <w:r>
              <w:t>4–5</w:t>
            </w:r>
          </w:p>
        </w:tc>
        <w:tc>
          <w:tcPr>
            <w:tcW w:type="dxa" w:w="2520"/>
            <w:vAlign w:val="top"/>
          </w:tcPr>
          <w:p>
            <w:r>
              <w:t>Approved roles with low physical dependency</w:t>
            </w:r>
          </w:p>
        </w:tc>
      </w:tr>
    </w:tbl>
    <w:p>
      <w:pPr>
        <w:pStyle w:val="Heading2"/>
      </w:pPr>
      <w:r>
        <w:t>1.2 Core hours and availability</w:t>
      </w:r>
    </w:p>
    <w:p>
      <w:pPr>
        <w:pStyle w:val="ListBullet"/>
        <w:spacing w:after="40"/>
      </w:pPr>
      <w:r>
        <w:t>Core collaboration hours are 10:00–16:00 IST unless a roster states otherwise.</w:t>
      </w:r>
    </w:p>
    <w:p>
      <w:pPr>
        <w:pStyle w:val="ListBullet"/>
        <w:spacing w:after="40"/>
      </w:pPr>
      <w:r>
        <w:t>Remote employees must maintain a reliable connection during scheduled work hours and attend required meetings.</w:t>
      </w:r>
    </w:p>
    <w:p>
      <w:pPr>
        <w:pStyle w:val="ListBullet"/>
        <w:spacing w:after="40"/>
      </w:pPr>
      <w:r>
        <w:t>A remote arrangement does not change the employee's expected output, security responsibilities or response commitments.</w:t>
      </w:r>
    </w:p>
    <w:p>
      <w:pPr>
        <w:pStyle w:val="ListBullet"/>
        <w:spacing w:after="40"/>
      </w:pPr>
      <w:r>
        <w:t>Teams may establish fixed overlap windows where customer, release or support requirements justify them.</w:t>
      </w:r>
    </w:p>
    <w:p>
      <w:pPr>
        <w:pStyle w:val="Heading2"/>
      </w:pPr>
      <w:r>
        <w:t>1.3 Work location</w:t>
      </w:r>
    </w:p>
    <w:p>
      <w:pPr>
        <w:spacing w:after="100"/>
      </w:pPr>
      <w:r>
        <w:t>The employee's approved remote location is recorded at city/state level. Working from another city for more than 5 consecutive business days requires manager approval; cross-state working may require People Operations review.</w:t>
      </w:r>
    </w:p>
    <w:p>
      <w:r>
        <w:br w:type="page"/>
      </w:r>
    </w:p>
    <w:p>
      <w:pPr>
        <w:pStyle w:val="Heading1"/>
      </w:pPr>
      <w:r>
        <w:t>2. Eligibility and Approval Workflow</w:t>
      </w:r>
    </w:p>
    <w:p>
      <w:pPr>
        <w:pStyle w:val="Heading2"/>
      </w:pPr>
      <w:r>
        <w:t>2.1 Eligibility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3360"/>
            <w:vAlign w:val="top"/>
          </w:tcPr>
          <w:p>
            <w:r>
              <w:t>Role physical dependency</w:t>
            </w:r>
          </w:p>
        </w:tc>
        <w:tc>
          <w:tcPr>
            <w:tcW w:type="dxa" w:w="3360"/>
            <w:vAlign w:val="top"/>
          </w:tcPr>
          <w:p>
            <w:r>
              <w:t>30%</w:t>
            </w:r>
          </w:p>
        </w:tc>
        <w:tc>
          <w:tcPr>
            <w:tcW w:type="dxa" w:w="3360"/>
            <w:vAlign w:val="top"/>
          </w:tcPr>
          <w:p>
            <w:r>
              <w:t>No mandatory daily physical dependency</w:t>
            </w:r>
          </w:p>
        </w:tc>
      </w:tr>
      <w:tr>
        <w:tc>
          <w:tcPr>
            <w:tcW w:type="dxa" w:w="3360"/>
            <w:vAlign w:val="top"/>
          </w:tcPr>
          <w:p>
            <w:r>
              <w:t>Security/data sensitivity</w:t>
            </w:r>
          </w:p>
        </w:tc>
        <w:tc>
          <w:tcPr>
            <w:tcW w:type="dxa" w:w="3360"/>
            <w:vAlign w:val="top"/>
          </w:tcPr>
          <w:p>
            <w:r>
              <w:t>20%</w:t>
            </w:r>
          </w:p>
        </w:tc>
        <w:tc>
          <w:tcPr>
            <w:tcW w:type="dxa" w:w="3360"/>
            <w:vAlign w:val="top"/>
          </w:tcPr>
          <w:p>
            <w:r>
              <w:t>Role can operate under remote security controls</w:t>
            </w:r>
          </w:p>
        </w:tc>
      </w:tr>
      <w:tr>
        <w:tc>
          <w:tcPr>
            <w:tcW w:type="dxa" w:w="3360"/>
            <w:vAlign w:val="top"/>
          </w:tcPr>
          <w:p>
            <w:r>
              <w:t>Customer coverage</w:t>
            </w:r>
          </w:p>
        </w:tc>
        <w:tc>
          <w:tcPr>
            <w:tcW w:type="dxa" w:w="3360"/>
            <w:vAlign w:val="top"/>
          </w:tcPr>
          <w:p>
            <w:r>
              <w:t>15%</w:t>
            </w:r>
          </w:p>
        </w:tc>
        <w:tc>
          <w:tcPr>
            <w:tcW w:type="dxa" w:w="3360"/>
            <w:vAlign w:val="top"/>
          </w:tcPr>
          <w:p>
            <w:r>
              <w:t>Customer commitments remain covered</w:t>
            </w:r>
          </w:p>
        </w:tc>
      </w:tr>
      <w:tr>
        <w:tc>
          <w:tcPr>
            <w:tcW w:type="dxa" w:w="3360"/>
            <w:vAlign w:val="top"/>
          </w:tcPr>
          <w:p>
            <w:r>
              <w:t>Performance history</w:t>
            </w:r>
          </w:p>
        </w:tc>
        <w:tc>
          <w:tcPr>
            <w:tcW w:type="dxa" w:w="3360"/>
            <w:vAlign w:val="top"/>
          </w:tcPr>
          <w:p>
            <w:r>
              <w:t>20%</w:t>
            </w:r>
          </w:p>
        </w:tc>
        <w:tc>
          <w:tcPr>
            <w:tcW w:type="dxa" w:w="3360"/>
            <w:vAlign w:val="top"/>
          </w:tcPr>
          <w:p>
            <w:r>
              <w:t>No active performance improvement plan</w:t>
            </w:r>
          </w:p>
        </w:tc>
      </w:tr>
      <w:tr>
        <w:tc>
          <w:tcPr>
            <w:tcW w:type="dxa" w:w="3360"/>
            <w:vAlign w:val="top"/>
          </w:tcPr>
          <w:p>
            <w:r>
              <w:t>Team operating fit</w:t>
            </w:r>
          </w:p>
        </w:tc>
        <w:tc>
          <w:tcPr>
            <w:tcW w:type="dxa" w:w="3360"/>
            <w:vAlign w:val="top"/>
          </w:tcPr>
          <w:p>
            <w:r>
              <w:t>15%</w:t>
            </w:r>
          </w:p>
        </w:tc>
        <w:tc>
          <w:tcPr>
            <w:tcW w:type="dxa" w:w="3360"/>
            <w:vAlign w:val="top"/>
          </w:tcPr>
          <w:p>
            <w:r>
              <w:t>Manager confirms coverage and collaboration</w:t>
            </w:r>
          </w:p>
        </w:tc>
      </w:tr>
    </w:tbl>
    <w:p>
      <w:pPr>
        <w:spacing w:after="100"/>
      </w:pPr>
      <w:r>
        <w:t>An eligibility assessment is a management control, not an automatic entitlement. A role may be remote-capable while a specific employee is temporarily required to work from office for operational reasons.</w:t>
      </w:r>
    </w:p>
    <w:p>
      <w:pPr>
        <w:pStyle w:val="Heading2"/>
      </w:pPr>
      <w:r>
        <w:t>2.2 Approval workflow</w:t>
      </w:r>
    </w:p>
    <w:p>
      <w:pPr>
        <w:pStyle w:val="ListBullet"/>
        <w:spacing w:after="40"/>
      </w:pPr>
      <w:r>
        <w:t>Employee submits the remote-work request in the HRIS.</w:t>
      </w:r>
    </w:p>
    <w:p>
      <w:pPr>
        <w:pStyle w:val="ListBullet"/>
        <w:spacing w:after="40"/>
      </w:pPr>
      <w:r>
        <w:t>Manager reviews role coverage, performance, collaboration and schedule impact within 3 business days.</w:t>
      </w:r>
    </w:p>
    <w:p>
      <w:pPr>
        <w:pStyle w:val="ListBullet"/>
        <w:spacing w:after="40"/>
      </w:pPr>
      <w:r>
        <w:t>Function head approval is required for permanent remote status and for exceptions longer than 30 days.</w:t>
      </w:r>
    </w:p>
    <w:p>
      <w:pPr>
        <w:pStyle w:val="ListBullet"/>
        <w:spacing w:after="40"/>
      </w:pPr>
      <w:r>
        <w:t>People Operations updates the HRIS after approval; email approval alone does not change the authoritative work-mode record.</w:t>
      </w:r>
    </w:p>
    <w:p>
      <w:pPr>
        <w:pStyle w:val="ListBullet"/>
        <w:spacing w:after="40"/>
      </w:pPr>
      <w:r>
        <w:t>IT/Security review is required when the proposed arrangement introduces unusual device, network or data-handling risk.</w:t>
      </w:r>
    </w:p>
    <w:p>
      <w:pPr>
        <w:pStyle w:val="Heading2"/>
      </w:pPr>
      <w:r>
        <w:t>2.3 Temporary remote exception</w:t>
      </w:r>
    </w:p>
    <w:p>
      <w:pPr>
        <w:spacing w:after="100"/>
      </w:pPr>
      <w:r>
        <w:t>A manager may approve up to 10 business days of temporary remote work for an employee whose standard mode is Office or Hybrid. More than 10 days requires function-head approval.</w:t>
      </w:r>
    </w:p>
    <w:p>
      <w:r>
        <w:br w:type="page"/>
      </w:r>
    </w:p>
    <w:p>
      <w:pPr>
        <w:pStyle w:val="Heading1"/>
      </w:pPr>
      <w:r>
        <w:t>3. Equipment, Workspace and Connectivity</w:t>
      </w:r>
    </w:p>
    <w:p>
      <w:pPr>
        <w:pStyle w:val="Heading2"/>
      </w:pPr>
      <w:r>
        <w:t>3.1 Standard equipment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Standard issue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Replacement trigger</w:t>
            </w:r>
          </w:p>
        </w:tc>
      </w:tr>
      <w:tr>
        <w:tc>
          <w:tcPr>
            <w:tcW w:type="dxa" w:w="3360"/>
            <w:vAlign w:val="top"/>
          </w:tcPr>
          <w:p>
            <w:r>
              <w:t>Laptop</w:t>
            </w:r>
          </w:p>
        </w:tc>
        <w:tc>
          <w:tcPr>
            <w:tcW w:type="dxa" w:w="3360"/>
            <w:vAlign w:val="top"/>
          </w:tcPr>
          <w:p>
            <w:r>
              <w:t>1 managed device</w:t>
            </w:r>
          </w:p>
        </w:tc>
        <w:tc>
          <w:tcPr>
            <w:tcW w:type="dxa" w:w="3360"/>
            <w:vAlign w:val="top"/>
          </w:tcPr>
          <w:p>
            <w:r>
              <w:t>Lifecycle / failure</w:t>
            </w:r>
          </w:p>
        </w:tc>
      </w:tr>
      <w:tr>
        <w:tc>
          <w:tcPr>
            <w:tcW w:type="dxa" w:w="3360"/>
            <w:vAlign w:val="top"/>
          </w:tcPr>
          <w:p>
            <w:r>
              <w:t>External monitor</w:t>
            </w:r>
          </w:p>
        </w:tc>
        <w:tc>
          <w:tcPr>
            <w:tcW w:type="dxa" w:w="3360"/>
            <w:vAlign w:val="top"/>
          </w:tcPr>
          <w:p>
            <w:r>
              <w:t>1 for eligible roles</w:t>
            </w:r>
          </w:p>
        </w:tc>
        <w:tc>
          <w:tcPr>
            <w:tcW w:type="dxa" w:w="3360"/>
            <w:vAlign w:val="top"/>
          </w:tcPr>
          <w:p>
            <w:r>
              <w:t>Failure / approved ergonomic need</w:t>
            </w:r>
          </w:p>
        </w:tc>
      </w:tr>
      <w:tr>
        <w:tc>
          <w:tcPr>
            <w:tcW w:type="dxa" w:w="3360"/>
            <w:vAlign w:val="top"/>
          </w:tcPr>
          <w:p>
            <w:r>
              <w:t>Headset</w:t>
            </w:r>
          </w:p>
        </w:tc>
        <w:tc>
          <w:tcPr>
            <w:tcW w:type="dxa" w:w="3360"/>
            <w:vAlign w:val="top"/>
          </w:tcPr>
          <w:p>
            <w:r>
              <w:t>1</w:t>
            </w:r>
          </w:p>
        </w:tc>
        <w:tc>
          <w:tcPr>
            <w:tcW w:type="dxa" w:w="3360"/>
            <w:vAlign w:val="top"/>
          </w:tcPr>
          <w:p>
            <w:r>
              <w:t>Failure</w:t>
            </w:r>
          </w:p>
        </w:tc>
      </w:tr>
      <w:tr>
        <w:tc>
          <w:tcPr>
            <w:tcW w:type="dxa" w:w="3360"/>
            <w:vAlign w:val="top"/>
          </w:tcPr>
          <w:p>
            <w:r>
              <w:t>Keyboard + mouse</w:t>
            </w:r>
          </w:p>
        </w:tc>
        <w:tc>
          <w:tcPr>
            <w:tcW w:type="dxa" w:w="3360"/>
            <w:vAlign w:val="top"/>
          </w:tcPr>
          <w:p>
            <w:r>
              <w:t>1 set</w:t>
            </w:r>
          </w:p>
        </w:tc>
        <w:tc>
          <w:tcPr>
            <w:tcW w:type="dxa" w:w="3360"/>
            <w:vAlign w:val="top"/>
          </w:tcPr>
          <w:p>
            <w:r>
              <w:t>Failure / ergonomic need</w:t>
            </w:r>
          </w:p>
        </w:tc>
      </w:tr>
      <w:tr>
        <w:tc>
          <w:tcPr>
            <w:tcW w:type="dxa" w:w="3360"/>
            <w:vAlign w:val="top"/>
          </w:tcPr>
          <w:p>
            <w:r>
              <w:t>Security key</w:t>
            </w:r>
          </w:p>
        </w:tc>
        <w:tc>
          <w:tcPr>
            <w:tcW w:type="dxa" w:w="3360"/>
            <w:vAlign w:val="top"/>
          </w:tcPr>
          <w:p>
            <w:r>
              <w:t>1 where role requires MFA hardware</w:t>
            </w:r>
          </w:p>
        </w:tc>
        <w:tc>
          <w:tcPr>
            <w:tcW w:type="dxa" w:w="3360"/>
            <w:vAlign w:val="top"/>
          </w:tcPr>
          <w:p>
            <w:r>
              <w:t>Loss / failure</w:t>
            </w:r>
          </w:p>
        </w:tc>
      </w:tr>
    </w:tbl>
    <w:p>
      <w:pPr>
        <w:pStyle w:val="Heading2"/>
      </w:pPr>
      <w:r>
        <w:t>3.2 Connectivity</w:t>
      </w:r>
    </w:p>
    <w:p>
      <w:pPr>
        <w:pStyle w:val="ListBullet"/>
        <w:spacing w:after="40"/>
      </w:pPr>
      <w:r>
        <w:t>Employees are expected to maintain a stable internet connection sufficient for video meetings and approved work systems.</w:t>
      </w:r>
    </w:p>
    <w:p>
      <w:pPr>
        <w:pStyle w:val="ListBullet"/>
        <w:spacing w:after="40"/>
      </w:pPr>
      <w:r>
        <w:t>For recurring outages, employees should notify their manager and use an approved office or backup location where feasible.</w:t>
      </w:r>
    </w:p>
    <w:p>
      <w:pPr>
        <w:pStyle w:val="ListBullet"/>
        <w:spacing w:after="40"/>
      </w:pPr>
      <w:r>
        <w:t>Company work must not be performed over untrusted public Wi-Fi without the approved VPN/security controls.</w:t>
      </w:r>
    </w:p>
    <w:p>
      <w:pPr>
        <w:pStyle w:val="ListBullet"/>
        <w:spacing w:after="40"/>
      </w:pPr>
      <w:r>
        <w:t>Personal hotspots may be used temporarily where approved, but confidential data must remain inside approved systems.</w:t>
      </w:r>
    </w:p>
    <w:p>
      <w:pPr>
        <w:pStyle w:val="Heading2"/>
      </w:pPr>
      <w:r>
        <w:t>3.3 Home workspace</w:t>
      </w:r>
    </w:p>
    <w:p>
      <w:pPr>
        <w:spacing w:after="100"/>
      </w:pPr>
      <w:r>
        <w:t>The employee should maintain a private work area where screens, documents and conversations cannot be viewed or overheard by unauthorized persons. Physical company records should not be stored in shared household spaces.</w:t>
      </w:r>
    </w:p>
    <w:p>
      <w:pPr>
        <w:pStyle w:val="Heading2"/>
      </w:pPr>
      <w:r>
        <w:t>3.4 Asset incidents</w:t>
      </w:r>
    </w:p>
    <w:p>
      <w:pPr>
        <w:spacing w:after="100"/>
      </w:pPr>
      <w:r>
        <w:t>Loss or suspected theft of a company device must be reported to IT/Security immediately and no later than 30 minutes after discovery where reasonably possible. Delayed reporting can increase security exposure.</w:t>
      </w:r>
    </w:p>
    <w:p>
      <w:r>
        <w:br w:type="page"/>
      </w:r>
    </w:p>
    <w:p>
      <w:pPr>
        <w:pStyle w:val="Heading1"/>
      </w:pPr>
      <w:r>
        <w:t>4. Security Controls for Remote Work</w:t>
      </w:r>
    </w:p>
    <w:p>
      <w:pPr>
        <w:pStyle w:val="Heading2"/>
      </w:pPr>
      <w:r>
        <w:t>4.1 Authentication</w:t>
      </w:r>
    </w:p>
    <w:p>
      <w:pPr>
        <w:pStyle w:val="ListBullet"/>
        <w:spacing w:after="40"/>
      </w:pPr>
      <w:r>
        <w:t>Multi-factor authentication is mandatory for corporate identity systems.</w:t>
      </w:r>
    </w:p>
    <w:p>
      <w:pPr>
        <w:pStyle w:val="ListBullet"/>
        <w:spacing w:after="40"/>
      </w:pPr>
      <w:r>
        <w:t>Employees must not share passwords, session tokens, recovery codes or security keys.</w:t>
      </w:r>
    </w:p>
    <w:p>
      <w:pPr>
        <w:pStyle w:val="ListBullet"/>
        <w:spacing w:after="40"/>
      </w:pPr>
      <w:r>
        <w:t>Screens must lock after the configured inactivity period; employees should manually lock before leaving the workspace.</w:t>
      </w:r>
    </w:p>
    <w:p>
      <w:pPr>
        <w:pStyle w:val="ListBullet"/>
        <w:spacing w:after="40"/>
      </w:pPr>
      <w:r>
        <w:t>Privileged administrative access must use the approved privileged-access workflow.</w:t>
      </w:r>
    </w:p>
    <w:p>
      <w:pPr>
        <w:pStyle w:val="Heading2"/>
      </w:pPr>
      <w:r>
        <w:t>4.2 Data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Data class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Remote handling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Storage rule</w:t>
            </w:r>
          </w:p>
        </w:tc>
      </w:tr>
      <w:tr>
        <w:tc>
          <w:tcPr>
            <w:tcW w:type="dxa" w:w="3360"/>
            <w:vAlign w:val="top"/>
          </w:tcPr>
          <w:p>
            <w:r>
              <w:t>Public</w:t>
            </w:r>
          </w:p>
        </w:tc>
        <w:tc>
          <w:tcPr>
            <w:tcW w:type="dxa" w:w="3360"/>
            <w:vAlign w:val="top"/>
          </w:tcPr>
          <w:p>
            <w:r>
              <w:t>Allowed</w:t>
            </w:r>
          </w:p>
        </w:tc>
        <w:tc>
          <w:tcPr>
            <w:tcW w:type="dxa" w:w="3360"/>
            <w:vAlign w:val="top"/>
          </w:tcPr>
          <w:p>
            <w:r>
              <w:t>Approved company systems</w:t>
            </w:r>
          </w:p>
        </w:tc>
      </w:tr>
      <w:tr>
        <w:tc>
          <w:tcPr>
            <w:tcW w:type="dxa" w:w="3360"/>
            <w:vAlign w:val="top"/>
          </w:tcPr>
          <w:p>
            <w:r>
              <w:t>Internal</w:t>
            </w:r>
          </w:p>
        </w:tc>
        <w:tc>
          <w:tcPr>
            <w:tcW w:type="dxa" w:w="3360"/>
            <w:vAlign w:val="top"/>
          </w:tcPr>
          <w:p>
            <w:r>
              <w:t>Allowed</w:t>
            </w:r>
          </w:p>
        </w:tc>
        <w:tc>
          <w:tcPr>
            <w:tcW w:type="dxa" w:w="3360"/>
            <w:vAlign w:val="top"/>
          </w:tcPr>
          <w:p>
            <w:r>
              <w:t>Approved company systems only</w:t>
            </w:r>
          </w:p>
        </w:tc>
      </w:tr>
      <w:tr>
        <w:tc>
          <w:tcPr>
            <w:tcW w:type="dxa" w:w="3360"/>
            <w:vAlign w:val="top"/>
          </w:tcPr>
          <w:p>
            <w:r>
              <w:t>Confidential</w:t>
            </w:r>
          </w:p>
        </w:tc>
        <w:tc>
          <w:tcPr>
            <w:tcW w:type="dxa" w:w="3360"/>
            <w:vAlign w:val="top"/>
          </w:tcPr>
          <w:p>
            <w:r>
              <w:t>Controlled</w:t>
            </w:r>
          </w:p>
        </w:tc>
        <w:tc>
          <w:tcPr>
            <w:tcW w:type="dxa" w:w="3360"/>
            <w:vAlign w:val="top"/>
          </w:tcPr>
          <w:p>
            <w:r>
              <w:t>Managed device + approved storage</w:t>
            </w:r>
          </w:p>
        </w:tc>
      </w:tr>
      <w:tr>
        <w:tc>
          <w:tcPr>
            <w:tcW w:type="dxa" w:w="3360"/>
            <w:vAlign w:val="top"/>
          </w:tcPr>
          <w:p>
            <w:r>
              <w:t>Restricted</w:t>
            </w:r>
          </w:p>
        </w:tc>
        <w:tc>
          <w:tcPr>
            <w:tcW w:type="dxa" w:w="3360"/>
            <w:vAlign w:val="top"/>
          </w:tcPr>
          <w:p>
            <w:r>
              <w:t>Case-specific</w:t>
            </w:r>
          </w:p>
        </w:tc>
        <w:tc>
          <w:tcPr>
            <w:tcW w:type="dxa" w:w="3360"/>
            <w:vAlign w:val="top"/>
          </w:tcPr>
          <w:p>
            <w:r>
              <w:t>Additional controls / approval</w:t>
            </w:r>
          </w:p>
        </w:tc>
      </w:tr>
    </w:tbl>
    <w:p>
      <w:pPr>
        <w:pStyle w:val="Heading2"/>
      </w:pPr>
      <w:r>
        <w:t>4.3 Meetings and calls</w:t>
      </w:r>
    </w:p>
    <w:p>
      <w:pPr>
        <w:spacing w:after="100"/>
      </w:pPr>
      <w:r>
        <w:t>Confidential customer, HR, security or financial discussions must be conducted in a private environment. Recording is prohibited unless the meeting owner has confirmed the required notice/approval and the recording is stored in an approved system.</w:t>
      </w:r>
    </w:p>
    <w:p>
      <w:pPr>
        <w:pStyle w:val="Heading2"/>
      </w:pPr>
      <w:r>
        <w:t>4.4 Printing</w:t>
      </w:r>
    </w:p>
    <w:p>
      <w:pPr>
        <w:spacing w:after="100"/>
      </w:pPr>
      <w:r>
        <w:t>Printing confidential or restricted information at home should be avoided. If business necessity requires it, documents must be secured and destroyed using an approved method when no longer required.</w:t>
      </w:r>
    </w:p>
    <w:p>
      <w:r>
        <w:br w:type="page"/>
      </w:r>
    </w:p>
    <w:p>
      <w:pPr>
        <w:pStyle w:val="Heading1"/>
      </w:pPr>
      <w:r>
        <w:t>5. Productivity, Collaboration and Travel</w:t>
      </w:r>
    </w:p>
    <w:p>
      <w:pPr>
        <w:pStyle w:val="Heading2"/>
      </w:pPr>
      <w:r>
        <w:t>5.1 Collaboration expectations</w:t>
      </w:r>
    </w:p>
    <w:p>
      <w:pPr>
        <w:pStyle w:val="ListBullet"/>
        <w:spacing w:after="40"/>
      </w:pPr>
      <w:r>
        <w:t>Employees should keep calendars accurate and mark availability for core collaboration hours.</w:t>
      </w:r>
    </w:p>
    <w:p>
      <w:pPr>
        <w:pStyle w:val="ListBullet"/>
        <w:spacing w:after="40"/>
      </w:pPr>
      <w:r>
        <w:t>Project status should be updated at the cadence defined by the team, typically at least twice per week.</w:t>
      </w:r>
    </w:p>
    <w:p>
      <w:pPr>
        <w:pStyle w:val="ListBullet"/>
        <w:spacing w:after="40"/>
      </w:pPr>
      <w:r>
        <w:t>A missed meeting due to connectivity or other remote-work disruption should be communicated through the team channel.</w:t>
      </w:r>
    </w:p>
    <w:p>
      <w:pPr>
        <w:pStyle w:val="ListBullet"/>
        <w:spacing w:after="40"/>
      </w:pPr>
      <w:r>
        <w:t>Remote status cannot be used as a reason to defer customer-critical or release-critical work without manager agreement.</w:t>
      </w:r>
    </w:p>
    <w:p>
      <w:pPr>
        <w:pStyle w:val="Heading2"/>
      </w:pPr>
      <w:r>
        <w:t>5.2 Travel while working remotely</w:t>
      </w:r>
    </w:p>
    <w:p>
      <w:pPr>
        <w:spacing w:after="100"/>
      </w:pPr>
      <w:r>
        <w:t>Working while travelling is permitted only when the destination is within an approved jurisdiction and the employee can maintain security and work-hour obligations. International work from outside India requires prior People Operations and tax/legal review.</w:t>
      </w:r>
    </w:p>
    <w:p>
      <w:pPr>
        <w:pStyle w:val="Heading2"/>
      </w:pPr>
      <w:r>
        <w:t>5.3 Remote-work performance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Target / control</w:t>
            </w:r>
          </w:p>
        </w:tc>
      </w:tr>
      <w:tr>
        <w:tc>
          <w:tcPr>
            <w:tcW w:type="dxa" w:w="5040"/>
            <w:vAlign w:val="top"/>
          </w:tcPr>
          <w:p>
            <w:r>
              <w:t>Core-hours attendance</w:t>
            </w:r>
          </w:p>
        </w:tc>
        <w:tc>
          <w:tcPr>
            <w:tcW w:type="dxa" w:w="5040"/>
            <w:vAlign w:val="top"/>
          </w:tcPr>
          <w:p>
            <w:r>
              <w:t>≥ 90% of scheduled core-hour obligations, excluding approved leave</w:t>
            </w:r>
          </w:p>
        </w:tc>
      </w:tr>
      <w:tr>
        <w:tc>
          <w:tcPr>
            <w:tcW w:type="dxa" w:w="5040"/>
            <w:vAlign w:val="top"/>
          </w:tcPr>
          <w:p>
            <w:r>
              <w:t>Required meeting attendance</w:t>
            </w:r>
          </w:p>
        </w:tc>
        <w:tc>
          <w:tcPr>
            <w:tcW w:type="dxa" w:w="5040"/>
            <w:vAlign w:val="top"/>
          </w:tcPr>
          <w:p>
            <w:r>
              <w:t>As defined by team; customer meetings are mandatory unless delegated</w:t>
            </w:r>
          </w:p>
        </w:tc>
      </w:tr>
      <w:tr>
        <w:tc>
          <w:tcPr>
            <w:tcW w:type="dxa" w:w="5040"/>
            <w:vAlign w:val="top"/>
          </w:tcPr>
          <w:p>
            <w:r>
              <w:t>Status updates</w:t>
            </w:r>
          </w:p>
        </w:tc>
        <w:tc>
          <w:tcPr>
            <w:tcW w:type="dxa" w:w="5040"/>
            <w:vAlign w:val="top"/>
          </w:tcPr>
          <w:p>
            <w:r>
              <w:t>Minimum 2 per week for active project assignments</w:t>
            </w:r>
          </w:p>
        </w:tc>
      </w:tr>
      <w:tr>
        <w:tc>
          <w:tcPr>
            <w:tcW w:type="dxa" w:w="5040"/>
            <w:vAlign w:val="top"/>
          </w:tcPr>
          <w:p>
            <w:r>
              <w:t>Security training</w:t>
            </w:r>
          </w:p>
        </w:tc>
        <w:tc>
          <w:tcPr>
            <w:tcW w:type="dxa" w:w="5040"/>
            <w:vAlign w:val="top"/>
          </w:tcPr>
          <w:p>
            <w:r>
              <w:t>100% completion by assigned deadline</w:t>
            </w:r>
          </w:p>
        </w:tc>
      </w:tr>
    </w:tbl>
    <w:p>
      <w:r>
        <w:br w:type="page"/>
      </w:r>
    </w:p>
    <w:p>
      <w:pPr>
        <w:pStyle w:val="Heading1"/>
      </w:pPr>
      <w:r>
        <w:t>6. Exceptions, Review and Operational Metrics</w:t>
      </w:r>
    </w:p>
    <w:p>
      <w:pPr>
        <w:pStyle w:val="Heading2"/>
      </w:pPr>
      <w:r>
        <w:t>6.1 Exception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Exception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Maximum default period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Approval</w:t>
            </w:r>
          </w:p>
        </w:tc>
      </w:tr>
      <w:tr>
        <w:tc>
          <w:tcPr>
            <w:tcW w:type="dxa" w:w="3360"/>
            <w:vAlign w:val="top"/>
          </w:tcPr>
          <w:p>
            <w:r>
              <w:t>Short-term personal need</w:t>
            </w:r>
          </w:p>
        </w:tc>
        <w:tc>
          <w:tcPr>
            <w:tcW w:type="dxa" w:w="3360"/>
            <w:vAlign w:val="top"/>
          </w:tcPr>
          <w:p>
            <w:r>
              <w:t>10 business days</w:t>
            </w:r>
          </w:p>
        </w:tc>
        <w:tc>
          <w:tcPr>
            <w:tcW w:type="dxa" w:w="3360"/>
            <w:vAlign w:val="top"/>
          </w:tcPr>
          <w:p>
            <w:r>
              <w:t>Manager</w:t>
            </w:r>
          </w:p>
        </w:tc>
      </w:tr>
      <w:tr>
        <w:tc>
          <w:tcPr>
            <w:tcW w:type="dxa" w:w="3360"/>
            <w:vAlign w:val="top"/>
          </w:tcPr>
          <w:p>
            <w:r>
              <w:t>Temporary health/family situation</w:t>
            </w:r>
          </w:p>
        </w:tc>
        <w:tc>
          <w:tcPr>
            <w:tcW w:type="dxa" w:w="3360"/>
            <w:vAlign w:val="top"/>
          </w:tcPr>
          <w:p>
            <w:r>
              <w:t>Case-based</w:t>
            </w:r>
          </w:p>
        </w:tc>
        <w:tc>
          <w:tcPr>
            <w:tcW w:type="dxa" w:w="3360"/>
            <w:vAlign w:val="top"/>
          </w:tcPr>
          <w:p>
            <w:r>
              <w:t>Manager + People Operations</w:t>
            </w:r>
          </w:p>
        </w:tc>
      </w:tr>
      <w:tr>
        <w:tc>
          <w:tcPr>
            <w:tcW w:type="dxa" w:w="3360"/>
            <w:vAlign w:val="top"/>
          </w:tcPr>
          <w:p>
            <w:r>
              <w:t>Extended remote arrangement</w:t>
            </w:r>
          </w:p>
        </w:tc>
        <w:tc>
          <w:tcPr>
            <w:tcW w:type="dxa" w:w="3360"/>
            <w:vAlign w:val="top"/>
          </w:tcPr>
          <w:p>
            <w:r>
              <w:t>90 days per review</w:t>
            </w:r>
          </w:p>
        </w:tc>
        <w:tc>
          <w:tcPr>
            <w:tcW w:type="dxa" w:w="3360"/>
            <w:vAlign w:val="top"/>
          </w:tcPr>
          <w:p>
            <w:r>
              <w:t>Function head + People Operations</w:t>
            </w:r>
          </w:p>
        </w:tc>
      </w:tr>
      <w:tr>
        <w:tc>
          <w:tcPr>
            <w:tcW w:type="dxa" w:w="3360"/>
            <w:vAlign w:val="top"/>
          </w:tcPr>
          <w:p>
            <w:r>
              <w:t>Cross-state arrangement</w:t>
            </w:r>
          </w:p>
        </w:tc>
        <w:tc>
          <w:tcPr>
            <w:tcW w:type="dxa" w:w="3360"/>
            <w:vAlign w:val="top"/>
          </w:tcPr>
          <w:p>
            <w:r>
              <w:t>Case-based</w:t>
            </w:r>
          </w:p>
        </w:tc>
        <w:tc>
          <w:tcPr>
            <w:tcW w:type="dxa" w:w="3360"/>
            <w:vAlign w:val="top"/>
          </w:tcPr>
          <w:p>
            <w:r>
              <w:t>Function head + People Operations</w:t>
            </w:r>
          </w:p>
        </w:tc>
      </w:tr>
      <w:tr>
        <w:tc>
          <w:tcPr>
            <w:tcW w:type="dxa" w:w="3360"/>
            <w:vAlign w:val="top"/>
          </w:tcPr>
          <w:p>
            <w:r>
              <w:t>International work</w:t>
            </w:r>
          </w:p>
        </w:tc>
        <w:tc>
          <w:tcPr>
            <w:tcW w:type="dxa" w:w="3360"/>
            <w:vAlign w:val="top"/>
          </w:tcPr>
          <w:p>
            <w:r>
              <w:t>Case-based</w:t>
            </w:r>
          </w:p>
        </w:tc>
        <w:tc>
          <w:tcPr>
            <w:tcW w:type="dxa" w:w="3360"/>
            <w:vAlign w:val="top"/>
          </w:tcPr>
          <w:p>
            <w:r>
              <w:t>Function head + People Operations + tax/legal</w:t>
            </w:r>
          </w:p>
        </w:tc>
      </w:tr>
    </w:tbl>
    <w:p>
      <w:pPr>
        <w:pStyle w:val="Heading2"/>
      </w:pPr>
      <w:r>
        <w:t>6.2 FY26 remote-work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Employees in Hybrid mode</w:t>
            </w:r>
          </w:p>
        </w:tc>
        <w:tc>
          <w:tcPr>
            <w:tcW w:type="dxa" w:w="5040"/>
            <w:vAlign w:val="top"/>
          </w:tcPr>
          <w:p>
            <w:r>
              <w:t>81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Employees in Remote mode</w:t>
            </w:r>
          </w:p>
        </w:tc>
        <w:tc>
          <w:tcPr>
            <w:tcW w:type="dxa" w:w="5040"/>
            <w:vAlign w:val="top"/>
          </w:tcPr>
          <w:p>
            <w:r>
              <w:t>29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Employees in Office mode</w:t>
            </w:r>
          </w:p>
        </w:tc>
        <w:tc>
          <w:tcPr>
            <w:tcW w:type="dxa" w:w="5040"/>
            <w:vAlign w:val="top"/>
          </w:tcPr>
          <w:p>
            <w:r>
              <w:t>38</w:t>
            </w:r>
          </w:p>
        </w:tc>
      </w:tr>
      <w:tr>
        <w:tc>
          <w:tcPr>
            <w:tcW w:type="dxa" w:w="5040"/>
            <w:vAlign w:val="top"/>
          </w:tcPr>
          <w:p>
            <w:r>
              <w:t>Temporary exceptions approved in FY26</w:t>
            </w:r>
          </w:p>
        </w:tc>
        <w:tc>
          <w:tcPr>
            <w:tcW w:type="dxa" w:w="5040"/>
            <w:vAlign w:val="top"/>
          </w:tcPr>
          <w:p>
            <w:r>
              <w:t>47</w:t>
            </w:r>
          </w:p>
        </w:tc>
      </w:tr>
      <w:tr>
        <w:tc>
          <w:tcPr>
            <w:tcW w:type="dxa" w:w="5040"/>
            <w:vAlign w:val="top"/>
          </w:tcPr>
          <w:p>
            <w:r>
              <w:t>Average approval turnaround</w:t>
            </w:r>
          </w:p>
        </w:tc>
        <w:tc>
          <w:tcPr>
            <w:tcW w:type="dxa" w:w="5040"/>
            <w:vAlign w:val="top"/>
          </w:tcPr>
          <w:p>
            <w:r>
              <w:t>2.4 business days</w:t>
            </w:r>
          </w:p>
        </w:tc>
      </w:tr>
      <w:tr>
        <w:tc>
          <w:tcPr>
            <w:tcW w:type="dxa" w:w="5040"/>
            <w:vAlign w:val="top"/>
          </w:tcPr>
          <w:p>
            <w:r>
              <w:t>Remote-work security incidents</w:t>
            </w:r>
          </w:p>
        </w:tc>
        <w:tc>
          <w:tcPr>
            <w:tcW w:type="dxa" w:w="5040"/>
            <w:vAlign w:val="top"/>
          </w:tcPr>
          <w:p>
            <w:r>
              <w:t>6</w:t>
            </w:r>
          </w:p>
        </w:tc>
      </w:tr>
      <w:tr>
        <w:tc>
          <w:tcPr>
            <w:tcW w:type="dxa" w:w="5040"/>
            <w:vAlign w:val="top"/>
          </w:tcPr>
          <w:p>
            <w:r>
              <w:t>Device-loss reports</w:t>
            </w:r>
          </w:p>
        </w:tc>
        <w:tc>
          <w:tcPr>
            <w:tcW w:type="dxa" w:w="5040"/>
            <w:vAlign w:val="top"/>
          </w:tcPr>
          <w:p>
            <w:r>
              <w:t>3</w:t>
            </w:r>
          </w:p>
        </w:tc>
      </w:tr>
      <w:tr>
        <w:tc>
          <w:tcPr>
            <w:tcW w:type="dxa" w:w="5040"/>
            <w:vAlign w:val="top"/>
          </w:tcPr>
          <w:p>
            <w:r>
              <w:t>Policy exceptions overdue at quarter-end</w:t>
            </w:r>
          </w:p>
        </w:tc>
        <w:tc>
          <w:tcPr>
            <w:tcW w:type="dxa" w:w="5040"/>
            <w:vAlign w:val="top"/>
          </w:tcPr>
          <w:p>
            <w:r>
              <w:t>2</w:t>
            </w:r>
          </w:p>
        </w:tc>
      </w:tr>
    </w:tbl>
    <w:p>
      <w:pPr>
        <w:pStyle w:val="Heading2"/>
      </w:pPr>
      <w:r>
        <w:t>6.3 Review and revocation</w:t>
      </w:r>
    </w:p>
    <w:p>
      <w:pPr>
        <w:spacing w:after="100"/>
      </w:pPr>
      <w:r>
        <w:t>Remote eligibility may be reviewed after a material role change, sustained collaboration failure, security incident, customer coverage issue or organizational change. Any revocation should be documented with the reason, effective date and transition plan.</w:t>
      </w:r>
    </w:p>
    <w:p>
      <w:pPr>
        <w:spacing w:after="100"/>
      </w:pPr>
      <w:r>
        <w:t>Document control: NC-HR-RW-2026-08 | Version 3.1 | Next review 31 Jul 2027.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