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NexaCore Vendor Management Standard</w:t>
      </w:r>
    </w:p>
    <w:p>
      <w:pPr>
        <w:spacing w:after="100"/>
      </w:pPr>
      <w:r>
        <w:t>Document ID: NC-OPS-VND-2026-08 | Version 4.0 | Effective 01 Aug 2026 | Owner: Procurement Operations</w:t>
      </w:r>
    </w:p>
    <w:p>
      <w:pPr>
        <w:spacing w:after="100"/>
      </w:pPr>
      <w:r>
        <w:t>Synthetic private-company data created for RAG evaluation; not sourced from a real organization.</w:t>
      </w:r>
    </w:p>
    <w:p>
      <w:pPr>
        <w:pStyle w:val="Heading1"/>
      </w:pPr>
      <w:r>
        <w:t>1. Vendor Lifecycle</w:t>
      </w:r>
    </w:p>
    <w:p>
      <w:pPr>
        <w:spacing w:after="100"/>
      </w:pPr>
      <w:r>
        <w:t>Vendor management begins at supplier identification and continues through onboarding, contracting, performance monitoring, risk review, renewal and offboarding.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360"/>
            <w:vAlign w:val="top"/>
          </w:tcPr>
          <w:p>
            <w:r>
              <w:t>Request</w:t>
            </w:r>
          </w:p>
        </w:tc>
        <w:tc>
          <w:tcPr>
            <w:tcW w:type="dxa" w:w="3360"/>
            <w:vAlign w:val="top"/>
          </w:tcPr>
          <w:p>
            <w:r>
              <w:t>Business owner</w:t>
            </w:r>
          </w:p>
        </w:tc>
        <w:tc>
          <w:tcPr>
            <w:tcW w:type="dxa" w:w="3360"/>
            <w:vAlign w:val="top"/>
          </w:tcPr>
          <w:p>
            <w:r>
              <w:t>1 business day acknowledgement</w:t>
            </w:r>
          </w:p>
        </w:tc>
      </w:tr>
      <w:tr>
        <w:tc>
          <w:tcPr>
            <w:tcW w:type="dxa" w:w="3360"/>
            <w:vAlign w:val="top"/>
          </w:tcPr>
          <w:p>
            <w:r>
              <w:t>Due diligence</w:t>
            </w:r>
          </w:p>
        </w:tc>
        <w:tc>
          <w:tcPr>
            <w:tcW w:type="dxa" w:w="3360"/>
            <w:vAlign w:val="top"/>
          </w:tcPr>
          <w:p>
            <w:r>
              <w:t>Procurement + Risk</w:t>
            </w:r>
          </w:p>
        </w:tc>
        <w:tc>
          <w:tcPr>
            <w:tcW w:type="dxa" w:w="3360"/>
            <w:vAlign w:val="top"/>
          </w:tcPr>
          <w:p>
            <w:r>
              <w:t>5–15 business days</w:t>
            </w:r>
          </w:p>
        </w:tc>
      </w:tr>
      <w:tr>
        <w:tc>
          <w:tcPr>
            <w:tcW w:type="dxa" w:w="3360"/>
            <w:vAlign w:val="top"/>
          </w:tcPr>
          <w:p>
            <w:r>
              <w:t>Contracting</w:t>
            </w:r>
          </w:p>
        </w:tc>
        <w:tc>
          <w:tcPr>
            <w:tcW w:type="dxa" w:w="3360"/>
            <w:vAlign w:val="top"/>
          </w:tcPr>
          <w:p>
            <w:r>
              <w:t>Procurement + Legal</w:t>
            </w:r>
          </w:p>
        </w:tc>
        <w:tc>
          <w:tcPr>
            <w:tcW w:type="dxa" w:w="3360"/>
            <w:vAlign w:val="top"/>
          </w:tcPr>
          <w:p>
            <w:r>
              <w:t>5–20 business days</w:t>
            </w:r>
          </w:p>
        </w:tc>
      </w:tr>
      <w:tr>
        <w:tc>
          <w:tcPr>
            <w:tcW w:type="dxa" w:w="3360"/>
            <w:vAlign w:val="top"/>
          </w:tcPr>
          <w:p>
            <w:r>
              <w:t>Onboarding</w:t>
            </w:r>
          </w:p>
        </w:tc>
        <w:tc>
          <w:tcPr>
            <w:tcW w:type="dxa" w:w="3360"/>
            <w:vAlign w:val="top"/>
          </w:tcPr>
          <w:p>
            <w:r>
              <w:t>Procurement</w:t>
            </w:r>
          </w:p>
        </w:tc>
        <w:tc>
          <w:tcPr>
            <w:tcW w:type="dxa" w:w="3360"/>
            <w:vAlign w:val="top"/>
          </w:tcPr>
          <w:p>
            <w:r>
              <w:t>3 business days after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Performance review</w:t>
            </w:r>
          </w:p>
        </w:tc>
        <w:tc>
          <w:tcPr>
            <w:tcW w:type="dxa" w:w="3360"/>
            <w:vAlign w:val="top"/>
          </w:tcPr>
          <w:p>
            <w:r>
              <w:t>Vendor owner</w:t>
            </w:r>
          </w:p>
        </w:tc>
        <w:tc>
          <w:tcPr>
            <w:tcW w:type="dxa" w:w="3360"/>
            <w:vAlign w:val="top"/>
          </w:tcPr>
          <w:p>
            <w:r>
              <w:t>Monthly/quarterly</w:t>
            </w:r>
          </w:p>
        </w:tc>
      </w:tr>
      <w:tr>
        <w:tc>
          <w:tcPr>
            <w:tcW w:type="dxa" w:w="3360"/>
            <w:vAlign w:val="top"/>
          </w:tcPr>
          <w:p>
            <w:r>
              <w:t>Offboarding</w:t>
            </w:r>
          </w:p>
        </w:tc>
        <w:tc>
          <w:tcPr>
            <w:tcW w:type="dxa" w:w="3360"/>
            <w:vAlign w:val="top"/>
          </w:tcPr>
          <w:p>
            <w:r>
              <w:t>Vendor owner + IT/Finance</w:t>
            </w:r>
          </w:p>
        </w:tc>
        <w:tc>
          <w:tcPr>
            <w:tcW w:type="dxa" w:w="3360"/>
            <w:vAlign w:val="top"/>
          </w:tcPr>
          <w:p>
            <w:r>
              <w:t>≤10 business days</w:t>
            </w:r>
          </w:p>
        </w:tc>
      </w:tr>
    </w:tbl>
    <w:p>
      <w:pPr>
        <w:pStyle w:val="Heading2"/>
      </w:pPr>
      <w:r>
        <w:t>1.1 Vendor record minimums</w:t>
      </w:r>
    </w:p>
    <w:p>
      <w:pPr>
        <w:pStyle w:val="ListBullet"/>
        <w:spacing w:after="40"/>
      </w:pPr>
      <w:r>
        <w:t>Vendor ID</w:t>
      </w:r>
    </w:p>
    <w:p>
      <w:pPr>
        <w:pStyle w:val="ListBullet"/>
        <w:spacing w:after="40"/>
      </w:pPr>
      <w:r>
        <w:t>Legal name</w:t>
      </w:r>
    </w:p>
    <w:p>
      <w:pPr>
        <w:pStyle w:val="ListBullet"/>
        <w:spacing w:after="40"/>
      </w:pPr>
      <w:r>
        <w:t>Service category</w:t>
      </w:r>
    </w:p>
    <w:p>
      <w:pPr>
        <w:pStyle w:val="ListBullet"/>
        <w:spacing w:after="40"/>
      </w:pPr>
      <w:r>
        <w:t>Risk tier</w:t>
      </w:r>
    </w:p>
    <w:p>
      <w:pPr>
        <w:pStyle w:val="ListBullet"/>
        <w:spacing w:after="40"/>
      </w:pPr>
      <w:r>
        <w:t>Contract dates</w:t>
      </w:r>
    </w:p>
    <w:p>
      <w:pPr>
        <w:pStyle w:val="ListBullet"/>
        <w:spacing w:after="40"/>
      </w:pPr>
      <w:r>
        <w:t>Business owner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Data access</w:t>
      </w:r>
    </w:p>
    <w:p>
      <w:pPr>
        <w:pStyle w:val="ListBullet"/>
        <w:spacing w:after="40"/>
      </w:pPr>
      <w:r>
        <w:t>System access</w:t>
      </w:r>
    </w:p>
    <w:p>
      <w:pPr>
        <w:pStyle w:val="ListBullet"/>
        <w:spacing w:after="40"/>
      </w:pPr>
      <w:r>
        <w:t>Insurance/compliance status</w:t>
      </w:r>
    </w:p>
    <w:p>
      <w:pPr>
        <w:pStyle w:val="ListBullet"/>
        <w:spacing w:after="40"/>
      </w:pPr>
      <w:r>
        <w:t>Renewal date</w:t>
      </w:r>
    </w:p>
    <w:p>
      <w:r>
        <w:br w:type="page"/>
      </w:r>
    </w:p>
    <w:p>
      <w:pPr>
        <w:pStyle w:val="Heading1"/>
      </w:pPr>
      <w:r>
        <w:t>2. Due Diligence</w:t>
      </w:r>
    </w:p>
    <w:p>
      <w:pPr>
        <w:pStyle w:val="Heading2"/>
      </w:pPr>
      <w:r>
        <w:t>2.1 Standard due-diligence package</w:t>
      </w:r>
    </w:p>
    <w:p>
      <w:pPr>
        <w:pStyle w:val="ListBullet"/>
        <w:spacing w:after="40"/>
      </w:pPr>
      <w:r>
        <w:t>Company registration and legal identity</w:t>
      </w:r>
    </w:p>
    <w:p>
      <w:pPr>
        <w:pStyle w:val="ListBullet"/>
        <w:spacing w:after="40"/>
      </w:pPr>
      <w:r>
        <w:t>Ownership information where required</w:t>
      </w:r>
    </w:p>
    <w:p>
      <w:pPr>
        <w:pStyle w:val="ListBullet"/>
        <w:spacing w:after="40"/>
      </w:pPr>
      <w:r>
        <w:t>Security questionnaire for applicable suppliers</w:t>
      </w:r>
    </w:p>
    <w:p>
      <w:pPr>
        <w:pStyle w:val="ListBullet"/>
        <w:spacing w:after="40"/>
      </w:pPr>
      <w:r>
        <w:t>Financial stability indicators for critical suppliers</w:t>
      </w:r>
    </w:p>
    <w:p>
      <w:pPr>
        <w:pStyle w:val="ListBullet"/>
        <w:spacing w:after="40"/>
      </w:pPr>
      <w:r>
        <w:t>Insurance certificates where required</w:t>
      </w:r>
    </w:p>
    <w:p>
      <w:pPr>
        <w:pStyle w:val="ListBullet"/>
        <w:spacing w:after="40"/>
      </w:pPr>
      <w:r>
        <w:t>Data-processing terms where applicable</w:t>
      </w:r>
    </w:p>
    <w:p>
      <w:pPr>
        <w:pStyle w:val="ListBullet"/>
        <w:spacing w:after="40"/>
      </w:pPr>
      <w:r>
        <w:t>Business continuity evidence</w:t>
      </w:r>
    </w:p>
    <w:p>
      <w:pPr>
        <w:pStyle w:val="ListBullet"/>
        <w:spacing w:after="40"/>
      </w:pPr>
      <w:r>
        <w:t>References for material strategic suppliers</w:t>
      </w:r>
    </w:p>
    <w:p>
      <w:pPr>
        <w:pStyle w:val="Heading2"/>
      </w:pPr>
      <w:r>
        <w:t>2.2 Risk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5040"/>
            <w:vAlign w:val="top"/>
          </w:tcPr>
          <w:p>
            <w:r>
              <w:t>Data sensitivity</w:t>
            </w:r>
          </w:p>
        </w:tc>
        <w:tc>
          <w:tcPr>
            <w:tcW w:type="dxa" w:w="5040"/>
            <w:vAlign w:val="top"/>
          </w:tcPr>
          <w:p>
            <w:r>
              <w:t>25%</w:t>
            </w:r>
          </w:p>
        </w:tc>
      </w:tr>
      <w:tr>
        <w:tc>
          <w:tcPr>
            <w:tcW w:type="dxa" w:w="5040"/>
            <w:vAlign w:val="top"/>
          </w:tcPr>
          <w:p>
            <w:r>
              <w:t>Operational dependency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 posture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Financial stability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Subcontractor exposure</w:t>
            </w:r>
          </w:p>
        </w:tc>
        <w:tc>
          <w:tcPr>
            <w:tcW w:type="dxa" w:w="5040"/>
            <w:vAlign w:val="top"/>
          </w:tcPr>
          <w:p>
            <w:r>
              <w:t>10%</w:t>
            </w:r>
          </w:p>
        </w:tc>
      </w:tr>
      <w:tr>
        <w:tc>
          <w:tcPr>
            <w:tcW w:type="dxa" w:w="5040"/>
            <w:vAlign w:val="top"/>
          </w:tcPr>
          <w:p>
            <w:r>
              <w:t>Geographic/legal complexity</w:t>
            </w:r>
          </w:p>
        </w:tc>
        <w:tc>
          <w:tcPr>
            <w:tcW w:type="dxa" w:w="5040"/>
            <w:vAlign w:val="top"/>
          </w:tcPr>
          <w:p>
            <w:r>
              <w:t>10%</w:t>
            </w:r>
          </w:p>
        </w:tc>
      </w:tr>
    </w:tbl>
    <w:p>
      <w:pPr>
        <w:pStyle w:val="Heading2"/>
      </w:pPr>
      <w:r>
        <w:t>2.3 Risk bands</w:t>
      </w:r>
    </w:p>
    <w:p>
      <w:pPr>
        <w:spacing w:after="100"/>
      </w:pPr>
      <w:r>
        <w:t>Scores below 30 are Low, 30–59 Medium, 60–79 High and 80–100 Critical. A high or critical rating requires a documented mitigation plan before production dependency.</w:t>
      </w:r>
    </w:p>
    <w:p>
      <w:r>
        <w:br w:type="page"/>
      </w:r>
    </w:p>
    <w:p>
      <w:pPr>
        <w:pStyle w:val="Heading1"/>
      </w:pPr>
      <w:r>
        <w:t>3. Contract and SLA Management</w:t>
      </w:r>
    </w:p>
    <w:p>
      <w:pPr>
        <w:pStyle w:val="Heading2"/>
      </w:pPr>
      <w:r>
        <w:t>3.1 Contract controls</w:t>
      </w:r>
    </w:p>
    <w:p>
      <w:pPr>
        <w:pStyle w:val="ListBullet"/>
        <w:spacing w:after="40"/>
      </w:pPr>
      <w:r>
        <w:t>Executed agreement must be stored in the approved contract repository.</w:t>
      </w:r>
    </w:p>
    <w:p>
      <w:pPr>
        <w:pStyle w:val="ListBullet"/>
        <w:spacing w:after="40"/>
      </w:pPr>
      <w:r>
        <w:t>Material amendments require review of pricing, scope, security and service levels.</w:t>
      </w:r>
    </w:p>
    <w:p>
      <w:pPr>
        <w:pStyle w:val="ListBullet"/>
        <w:spacing w:after="40"/>
      </w:pPr>
      <w:r>
        <w:t>Auto-renewal dates should be tracked at least 90 days in advance.</w:t>
      </w:r>
    </w:p>
    <w:p>
      <w:pPr>
        <w:pStyle w:val="ListBullet"/>
        <w:spacing w:after="40"/>
      </w:pPr>
      <w:r>
        <w:t>Termination rights and notice periods must be recorded in the vendor record.</w:t>
      </w:r>
    </w:p>
    <w:p>
      <w:pPr>
        <w:pStyle w:val="Heading2"/>
      </w:pPr>
      <w:r>
        <w:t>3.2 SLA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Service 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Standard target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Escalation trigger</w:t>
            </w:r>
          </w:p>
        </w:tc>
      </w:tr>
      <w:tr>
        <w:tc>
          <w:tcPr>
            <w:tcW w:type="dxa" w:w="3360"/>
            <w:vAlign w:val="top"/>
          </w:tcPr>
          <w:p>
            <w:r>
              <w:t>Availability</w:t>
            </w:r>
          </w:p>
        </w:tc>
        <w:tc>
          <w:tcPr>
            <w:tcW w:type="dxa" w:w="3360"/>
            <w:vAlign w:val="top"/>
          </w:tcPr>
          <w:p>
            <w:r>
              <w:t>≥99.9% for critical service</w:t>
            </w:r>
          </w:p>
        </w:tc>
        <w:tc>
          <w:tcPr>
            <w:tcW w:type="dxa" w:w="3360"/>
            <w:vAlign w:val="top"/>
          </w:tcPr>
          <w:p>
            <w:r>
              <w:t>Below target in month</w:t>
            </w:r>
          </w:p>
        </w:tc>
      </w:tr>
      <w:tr>
        <w:tc>
          <w:tcPr>
            <w:tcW w:type="dxa" w:w="3360"/>
            <w:vAlign w:val="top"/>
          </w:tcPr>
          <w:p>
            <w:r>
              <w:t>Support response</w:t>
            </w:r>
          </w:p>
        </w:tc>
        <w:tc>
          <w:tcPr>
            <w:tcW w:type="dxa" w:w="3360"/>
            <w:vAlign w:val="top"/>
          </w:tcPr>
          <w:p>
            <w:r>
              <w:t>≤60 min critical</w:t>
            </w:r>
          </w:p>
        </w:tc>
        <w:tc>
          <w:tcPr>
            <w:tcW w:type="dxa" w:w="3360"/>
            <w:vAlign w:val="top"/>
          </w:tcPr>
          <w:p>
            <w:r>
              <w:t>Missed critical SLA</w:t>
            </w:r>
          </w:p>
        </w:tc>
      </w:tr>
      <w:tr>
        <w:tc>
          <w:tcPr>
            <w:tcW w:type="dxa" w:w="3360"/>
            <w:vAlign w:val="top"/>
          </w:tcPr>
          <w:p>
            <w:r>
              <w:t>Resolution</w:t>
            </w:r>
          </w:p>
        </w:tc>
        <w:tc>
          <w:tcPr>
            <w:tcW w:type="dxa" w:w="3360"/>
            <w:vAlign w:val="top"/>
          </w:tcPr>
          <w:p>
            <w:r>
              <w:t>≤4 hr critical</w:t>
            </w:r>
          </w:p>
        </w:tc>
        <w:tc>
          <w:tcPr>
            <w:tcW w:type="dxa" w:w="3360"/>
            <w:vAlign w:val="top"/>
          </w:tcPr>
          <w:p>
            <w:r>
              <w:t>Repeated breach</w:t>
            </w:r>
          </w:p>
        </w:tc>
      </w:tr>
      <w:tr>
        <w:tc>
          <w:tcPr>
            <w:tcW w:type="dxa" w:w="3360"/>
            <w:vAlign w:val="top"/>
          </w:tcPr>
          <w:p>
            <w:r>
              <w:t>Delivery</w:t>
            </w:r>
          </w:p>
        </w:tc>
        <w:tc>
          <w:tcPr>
            <w:tcW w:type="dxa" w:w="3360"/>
            <w:vAlign w:val="top"/>
          </w:tcPr>
          <w:p>
            <w:r>
              <w:t>≥95% on time</w:t>
            </w:r>
          </w:p>
        </w:tc>
        <w:tc>
          <w:tcPr>
            <w:tcW w:type="dxa" w:w="3360"/>
            <w:vAlign w:val="top"/>
          </w:tcPr>
          <w:p>
            <w:r>
              <w:t>&lt;90% for 2 months</w:t>
            </w:r>
          </w:p>
        </w:tc>
      </w:tr>
      <w:tr>
        <w:tc>
          <w:tcPr>
            <w:tcW w:type="dxa" w:w="3360"/>
            <w:vAlign w:val="top"/>
          </w:tcPr>
          <w:p>
            <w:r>
              <w:t>Invoice accuracy</w:t>
            </w:r>
          </w:p>
        </w:tc>
        <w:tc>
          <w:tcPr>
            <w:tcW w:type="dxa" w:w="3360"/>
            <w:vAlign w:val="top"/>
          </w:tcPr>
          <w:p>
            <w:r>
              <w:t>≥98%</w:t>
            </w:r>
          </w:p>
        </w:tc>
        <w:tc>
          <w:tcPr>
            <w:tcW w:type="dxa" w:w="3360"/>
            <w:vAlign w:val="top"/>
          </w:tcPr>
          <w:p>
            <w:r>
              <w:t>&lt;95%</w:t>
            </w:r>
          </w:p>
        </w:tc>
      </w:tr>
    </w:tbl>
    <w:p>
      <w:pPr>
        <w:pStyle w:val="Heading2"/>
      </w:pPr>
      <w:r>
        <w:t>3.3 Service credits</w:t>
      </w:r>
    </w:p>
    <w:p>
      <w:pPr>
        <w:spacing w:after="100"/>
      </w:pPr>
      <w:r>
        <w:t>Contractual service credits are tracked by Procurement and Finance. Acceptance of a service credit does not automatically waive other contractual remedies.</w:t>
      </w:r>
    </w:p>
    <w:p>
      <w:r>
        <w:br w:type="page"/>
      </w:r>
    </w:p>
    <w:p>
      <w:pPr>
        <w:pStyle w:val="Heading1"/>
      </w:pPr>
      <w:r>
        <w:t>4. Vendor Performance Reviews</w:t>
      </w:r>
    </w:p>
    <w:p>
      <w:pPr>
        <w:pStyle w:val="Heading2"/>
      </w:pPr>
      <w:r>
        <w:t>4.1 Monthly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 quality</w:t>
            </w:r>
          </w:p>
        </w:tc>
        <w:tc>
          <w:tcPr>
            <w:tcW w:type="dxa" w:w="5040"/>
            <w:vAlign w:val="top"/>
          </w:tcPr>
          <w:p>
            <w:r>
              <w:t>25%</w:t>
            </w:r>
          </w:p>
        </w:tc>
      </w:tr>
      <w:tr>
        <w:tc>
          <w:tcPr>
            <w:tcW w:type="dxa" w:w="5040"/>
            <w:vAlign w:val="top"/>
          </w:tcPr>
          <w:p>
            <w:r>
              <w:t>SLA performance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reliability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Commercial value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Security/compliance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Relationship management</w:t>
            </w:r>
          </w:p>
        </w:tc>
        <w:tc>
          <w:tcPr>
            <w:tcW w:type="dxa" w:w="5040"/>
            <w:vAlign w:val="top"/>
          </w:tcPr>
          <w:p>
            <w:r>
              <w:t>5%</w:t>
            </w:r>
          </w:p>
        </w:tc>
      </w:tr>
    </w:tbl>
    <w:p>
      <w:pPr>
        <w:pStyle w:val="Heading2"/>
      </w:pPr>
      <w:r>
        <w:t>4.2 Score interpretation</w:t>
      </w:r>
    </w:p>
    <w:p>
      <w:pPr>
        <w:spacing w:after="100"/>
      </w:pPr>
      <w:r>
        <w:t>Scores ≥90 are Preferred, 80–89 Healthy, 70–79 Watch and &lt;70 Corrective Action Required.</w:t>
      </w:r>
    </w:p>
    <w:p>
      <w:pPr>
        <w:pStyle w:val="Heading2"/>
      </w:pPr>
      <w:r>
        <w:t>4.3 Corrective action</w:t>
      </w:r>
    </w:p>
    <w:p>
      <w:pPr>
        <w:pStyle w:val="ListBullet"/>
        <w:spacing w:after="40"/>
      </w:pPr>
      <w:r>
        <w:t>Document issue and evidence.</w:t>
      </w:r>
    </w:p>
    <w:p>
      <w:pPr>
        <w:pStyle w:val="ListBullet"/>
        <w:spacing w:after="40"/>
      </w:pPr>
      <w:r>
        <w:t>Agree corrective action and due date.</w:t>
      </w:r>
    </w:p>
    <w:p>
      <w:pPr>
        <w:pStyle w:val="ListBullet"/>
        <w:spacing w:after="40"/>
      </w:pPr>
      <w:r>
        <w:t>Assign supplier and internal owners.</w:t>
      </w:r>
    </w:p>
    <w:p>
      <w:pPr>
        <w:pStyle w:val="ListBullet"/>
        <w:spacing w:after="40"/>
      </w:pPr>
      <w:r>
        <w:t>Track weekly for critical issues.</w:t>
      </w:r>
    </w:p>
    <w:p>
      <w:pPr>
        <w:pStyle w:val="ListBullet"/>
        <w:spacing w:after="40"/>
      </w:pPr>
      <w:r>
        <w:t>Escalate unresolved high-risk issues to Procurement Head.</w:t>
      </w:r>
    </w:p>
    <w:p>
      <w:pPr>
        <w:pStyle w:val="ListBullet"/>
        <w:spacing w:after="40"/>
      </w:pPr>
      <w:r>
        <w:t>Consider alternate supplier if remediation fails.</w:t>
      </w:r>
    </w:p>
    <w:p>
      <w:r>
        <w:br w:type="page"/>
      </w:r>
    </w:p>
    <w:p>
      <w:pPr>
        <w:pStyle w:val="Heading1"/>
      </w:pPr>
      <w:r>
        <w:t>5. Renewal and Offboarding</w:t>
      </w:r>
    </w:p>
    <w:p>
      <w:pPr>
        <w:pStyle w:val="Heading2"/>
      </w:pPr>
      <w:r>
        <w:t>5.1 Renewal timeline</w:t>
      </w:r>
    </w:p>
    <w:p>
      <w:pPr>
        <w:pStyle w:val="ListBullet"/>
        <w:spacing w:after="40"/>
      </w:pPr>
      <w:r>
        <w:t>120 days before expiry: confirm business need and spend.</w:t>
      </w:r>
    </w:p>
    <w:p>
      <w:pPr>
        <w:pStyle w:val="ListBullet"/>
        <w:spacing w:after="40"/>
      </w:pPr>
      <w:r>
        <w:t>90 days: performance and risk review.</w:t>
      </w:r>
    </w:p>
    <w:p>
      <w:pPr>
        <w:pStyle w:val="ListBullet"/>
        <w:spacing w:after="40"/>
      </w:pPr>
      <w:r>
        <w:t>60 days: commercial negotiation / alternatives.</w:t>
      </w:r>
    </w:p>
    <w:p>
      <w:pPr>
        <w:pStyle w:val="ListBullet"/>
        <w:spacing w:after="40"/>
      </w:pPr>
      <w:r>
        <w:t>30 days: final approval and contract execution.</w:t>
      </w:r>
    </w:p>
    <w:p>
      <w:pPr>
        <w:pStyle w:val="ListBullet"/>
        <w:spacing w:after="40"/>
      </w:pPr>
      <w:r>
        <w:t>Post-renewal: update vendor record and repository.</w:t>
      </w:r>
    </w:p>
    <w:p>
      <w:pPr>
        <w:pStyle w:val="Heading2"/>
      </w:pPr>
      <w:r>
        <w:t>5.2 Offboarding checklist</w:t>
      </w:r>
    </w:p>
    <w:p>
      <w:pPr>
        <w:pStyle w:val="ListBullet"/>
        <w:spacing w:after="40"/>
      </w:pPr>
      <w:r>
        <w:t>Revoke system access.</w:t>
      </w:r>
    </w:p>
    <w:p>
      <w:pPr>
        <w:pStyle w:val="ListBullet"/>
        <w:spacing w:after="40"/>
      </w:pPr>
      <w:r>
        <w:t>Recover company assets where applicable.</w:t>
      </w:r>
    </w:p>
    <w:p>
      <w:pPr>
        <w:pStyle w:val="ListBullet"/>
        <w:spacing w:after="40"/>
      </w:pPr>
      <w:r>
        <w:t>Confirm data return/deletion obligations.</w:t>
      </w:r>
    </w:p>
    <w:p>
      <w:pPr>
        <w:pStyle w:val="ListBullet"/>
        <w:spacing w:after="40"/>
      </w:pPr>
      <w:r>
        <w:t>Stop purchase orders.</w:t>
      </w:r>
    </w:p>
    <w:p>
      <w:pPr>
        <w:pStyle w:val="ListBullet"/>
        <w:spacing w:after="40"/>
      </w:pPr>
      <w:r>
        <w:t>Close open invoices.</w:t>
      </w:r>
    </w:p>
    <w:p>
      <w:pPr>
        <w:pStyle w:val="ListBullet"/>
        <w:spacing w:after="40"/>
      </w:pPr>
      <w:r>
        <w:t>Archive contract and performance record.</w:t>
      </w:r>
    </w:p>
    <w:p>
      <w:pPr>
        <w:pStyle w:val="ListBullet"/>
        <w:spacing w:after="40"/>
      </w:pPr>
      <w:r>
        <w:t>Document termination reason.</w:t>
      </w:r>
    </w:p>
    <w:p>
      <w:pPr>
        <w:pStyle w:val="Heading2"/>
      </w:pPr>
      <w:r>
        <w:t>5.3 Exit risk</w:t>
      </w:r>
    </w:p>
    <w:p>
      <w:pPr>
        <w:spacing w:after="100"/>
      </w:pPr>
      <w:r>
        <w:t>Critical vendors require a documented exit plan covering replacement options, data portability, transition period, key dependencies and estimated switching cost.</w:t>
      </w:r>
    </w:p>
    <w:p>
      <w:r>
        <w:br w:type="page"/>
      </w:r>
    </w:p>
    <w:p>
      <w:pPr>
        <w:pStyle w:val="Heading1"/>
      </w:pPr>
      <w:r>
        <w:t>6. FY26 Vendor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FY26 value</w:t>
            </w:r>
          </w:p>
        </w:tc>
      </w:tr>
      <w:tr>
        <w:tc>
          <w:tcPr>
            <w:tcW w:type="dxa" w:w="5040"/>
            <w:vAlign w:val="top"/>
          </w:tcPr>
          <w:p>
            <w:r>
              <w:t>Active vendors</w:t>
            </w:r>
          </w:p>
        </w:tc>
        <w:tc>
          <w:tcPr>
            <w:tcW w:type="dxa" w:w="5040"/>
            <w:vAlign w:val="top"/>
          </w:tcPr>
          <w:p>
            <w:r>
              <w:t>612</w:t>
            </w:r>
          </w:p>
        </w:tc>
      </w:tr>
      <w:tr>
        <w:tc>
          <w:tcPr>
            <w:tcW w:type="dxa" w:w="5040"/>
            <w:vAlign w:val="top"/>
          </w:tcPr>
          <w:p>
            <w:r>
              <w:t>Critical vendors</w:t>
            </w:r>
          </w:p>
        </w:tc>
        <w:tc>
          <w:tcPr>
            <w:tcW w:type="dxa" w:w="5040"/>
            <w:vAlign w:val="top"/>
          </w:tcPr>
          <w:p>
            <w:r>
              <w:t>18</w:t>
            </w:r>
          </w:p>
        </w:tc>
      </w:tr>
      <w:tr>
        <w:tc>
          <w:tcPr>
            <w:tcW w:type="dxa" w:w="5040"/>
            <w:vAlign w:val="top"/>
          </w:tcPr>
          <w:p>
            <w:r>
              <w:t>High-risk vendors</w:t>
            </w:r>
          </w:p>
        </w:tc>
        <w:tc>
          <w:tcPr>
            <w:tcW w:type="dxa" w:w="5040"/>
            <w:vAlign w:val="top"/>
          </w:tcPr>
          <w:p>
            <w:r>
              <w:t>29</w:t>
            </w:r>
          </w:p>
        </w:tc>
      </w:tr>
      <w:tr>
        <w:tc>
          <w:tcPr>
            <w:tcW w:type="dxa" w:w="5040"/>
            <w:vAlign w:val="top"/>
          </w:tcPr>
          <w:p>
            <w:r>
              <w:t>Vendors reviewed during year</w:t>
            </w:r>
          </w:p>
        </w:tc>
        <w:tc>
          <w:tcPr>
            <w:tcW w:type="dxa" w:w="5040"/>
            <w:vAlign w:val="top"/>
          </w:tcPr>
          <w:p>
            <w:r>
              <w:t>487</w:t>
            </w:r>
          </w:p>
        </w:tc>
      </w:tr>
      <w:tr>
        <w:tc>
          <w:tcPr>
            <w:tcW w:type="dxa" w:w="5040"/>
            <w:vAlign w:val="top"/>
          </w:tcPr>
          <w:p>
            <w:r>
              <w:t>Vendors with corrective actions</w:t>
            </w:r>
          </w:p>
        </w:tc>
        <w:tc>
          <w:tcPr>
            <w:tcW w:type="dxa" w:w="5040"/>
            <w:vAlign w:val="top"/>
          </w:tcPr>
          <w:p>
            <w:r>
              <w:t>54</w:t>
            </w:r>
          </w:p>
        </w:tc>
      </w:tr>
      <w:tr>
        <w:tc>
          <w:tcPr>
            <w:tcW w:type="dxa" w:w="5040"/>
            <w:vAlign w:val="top"/>
          </w:tcPr>
          <w:p>
            <w:r>
              <w:t>Average vendor score</w:t>
            </w:r>
          </w:p>
        </w:tc>
        <w:tc>
          <w:tcPr>
            <w:tcW w:type="dxa" w:w="5040"/>
            <w:vAlign w:val="top"/>
          </w:tcPr>
          <w:p>
            <w:r>
              <w:t>84.7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Contracts renewed</w:t>
            </w:r>
          </w:p>
        </w:tc>
        <w:tc>
          <w:tcPr>
            <w:tcW w:type="dxa" w:w="5040"/>
            <w:vAlign w:val="top"/>
          </w:tcPr>
          <w:p>
            <w:r>
              <w:t>391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Contracts terminated</w:t>
            </w:r>
          </w:p>
        </w:tc>
        <w:tc>
          <w:tcPr>
            <w:tcW w:type="dxa" w:w="5040"/>
            <w:vAlign w:val="top"/>
          </w:tcPr>
          <w:p>
            <w:r>
              <w:t>37</w:t>
            </w:r>
          </w:p>
        </w:tc>
      </w:tr>
      <w:tr>
        <w:tc>
          <w:tcPr>
            <w:tcW w:type="dxa" w:w="5040"/>
            <w:vAlign w:val="top"/>
          </w:tcPr>
          <w:p>
            <w:r>
              <w:t>Vendor-related incidents</w:t>
            </w:r>
          </w:p>
        </w:tc>
        <w:tc>
          <w:tcPr>
            <w:tcW w:type="dxa" w:w="5040"/>
            <w:vAlign w:val="top"/>
          </w:tcPr>
          <w:p>
            <w:r>
              <w:t>11</w:t>
            </w:r>
          </w:p>
        </w:tc>
      </w:tr>
      <w:tr>
        <w:tc>
          <w:tcPr>
            <w:tcW w:type="dxa" w:w="5040"/>
            <w:vAlign w:val="top"/>
          </w:tcPr>
          <w:p>
            <w:r>
              <w:t>Critical vendor exit plans tested</w:t>
            </w:r>
          </w:p>
        </w:tc>
        <w:tc>
          <w:tcPr>
            <w:tcW w:type="dxa" w:w="5040"/>
            <w:vAlign w:val="top"/>
          </w:tcPr>
          <w:p>
            <w:r>
              <w:t>14</w:t>
            </w:r>
          </w:p>
        </w:tc>
      </w:tr>
    </w:tbl>
    <w:p>
      <w:pPr>
        <w:pStyle w:val="Heading2"/>
      </w:pPr>
      <w:r>
        <w:t>6.1 Ownership rules</w:t>
      </w:r>
    </w:p>
    <w:p>
      <w:pPr>
        <w:spacing w:after="100"/>
      </w:pPr>
      <w:r>
        <w:t>Every active vendor must have an internal business owner. Vendors without an owner are placed on the remediation queue and may be suspended from new commitments.</w:t>
      </w:r>
    </w:p>
    <w:p>
      <w:pPr>
        <w:pStyle w:val="Heading2"/>
      </w:pPr>
      <w:r>
        <w:t>Document control</w:t>
      </w:r>
    </w:p>
    <w:p>
      <w:pPr>
        <w:spacing w:after="100"/>
      </w:pPr>
      <w:r>
        <w:t>NC-OPS-VND-2026-08 | Version 4.0 | Next review 31 Jul 2027.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