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NexaCore Discount Policy</w:t>
      </w:r>
    </w:p>
    <w:p>
      <w:pPr>
        <w:spacing w:after="100"/>
      </w:pPr>
      <w:r>
        <w:t>Document ID: NC-SAL-DISC-2026-08 | Version 2.7 | Effective 01 Aug 2026 | Owner: Revenue Operations</w:t>
      </w:r>
    </w:p>
    <w:p>
      <w:pPr>
        <w:spacing w:after="100"/>
      </w:pPr>
      <w:r>
        <w:t>Synthetic private-company data for RAG evaluation; not sourced from a real company.</w:t>
      </w:r>
    </w:p>
    <w:p>
      <w:pPr>
        <w:pStyle w:val="Heading1"/>
      </w:pPr>
      <w:r>
        <w:t>1. Discounting Principles</w:t>
      </w:r>
    </w:p>
    <w:p>
      <w:pPr>
        <w:spacing w:after="100"/>
      </w:pPr>
      <w:r>
        <w:t>Discounts are commercial tools, not default pricing. Sales must establish business justification and protect minimum economics before requesting a concession.</w:t>
      </w:r>
    </w:p>
    <w:p>
      <w:pPr>
        <w:pStyle w:val="Heading2"/>
      </w:pPr>
      <w:r>
        <w:t>1.1 Standard authority bands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Discount</w:t>
            </w:r>
          </w:p>
        </w:tc>
        <w:tc>
          <w:tcPr>
            <w:tcW w:type="dxa" w:w="2016"/>
          </w:tcPr>
          <w:p>
            <w:r>
              <w:rPr>
                <w:b/>
              </w:rPr>
              <w:t>Account Executive</w:t>
            </w:r>
          </w:p>
        </w:tc>
        <w:tc>
          <w:tcPr>
            <w:tcW w:type="dxa" w:w="2016"/>
          </w:tcPr>
          <w:p>
            <w:r>
              <w:rPr>
                <w:b/>
              </w:rPr>
              <w:t>Sales Manager</w:t>
            </w:r>
          </w:p>
        </w:tc>
        <w:tc>
          <w:tcPr>
            <w:tcW w:type="dxa" w:w="2016"/>
          </w:tcPr>
          <w:p>
            <w:r>
              <w:rPr>
                <w:b/>
              </w:rPr>
              <w:t>VP Sales</w:t>
            </w:r>
          </w:p>
        </w:tc>
        <w:tc>
          <w:tcPr>
            <w:tcW w:type="dxa" w:w="2016"/>
          </w:tcPr>
          <w:p>
            <w:r>
              <w:rPr>
                <w:b/>
              </w:rPr>
              <w:t>CFO Delegate</w:t>
            </w:r>
          </w:p>
        </w:tc>
      </w:tr>
      <w:tr>
        <w:tc>
          <w:tcPr>
            <w:tcW w:type="dxa" w:w="2016"/>
            <w:vAlign w:val="top"/>
          </w:tcPr>
          <w:p>
            <w:r>
              <w:t>0–5%</w:t>
            </w:r>
          </w:p>
        </w:tc>
        <w:tc>
          <w:tcPr>
            <w:tcW w:type="dxa" w:w="2016"/>
            <w:vAlign w:val="top"/>
          </w:tcPr>
          <w:p>
            <w:r>
              <w:t>May approve</w:t>
            </w:r>
          </w:p>
        </w:tc>
        <w:tc>
          <w:tcPr>
            <w:tcW w:type="dxa" w:w="2016"/>
            <w:vAlign w:val="top"/>
          </w:tcPr>
          <w:p>
            <w:r>
              <w:t>Visibility</w:t>
            </w:r>
          </w:p>
        </w:tc>
        <w:tc>
          <w:tcPr>
            <w:tcW w:type="dxa" w:w="2016"/>
            <w:vAlign w:val="top"/>
          </w:tcPr>
          <w:p>
            <w:r>
              <w:t>—</w:t>
            </w:r>
          </w:p>
        </w:tc>
        <w:tc>
          <w:tcPr>
            <w:tcW w:type="dxa" w:w="2016"/>
            <w:vAlign w:val="top"/>
          </w:tcPr>
          <w:p>
            <w:r>
              <w:t>—</w:t>
            </w:r>
          </w:p>
        </w:tc>
      </w:tr>
      <w:tr>
        <w:tc>
          <w:tcPr>
            <w:tcW w:type="dxa" w:w="2016"/>
            <w:vAlign w:val="top"/>
          </w:tcPr>
          <w:p>
            <w:r>
              <w:t>&gt;5–10%</w:t>
            </w:r>
          </w:p>
        </w:tc>
        <w:tc>
          <w:tcPr>
            <w:tcW w:type="dxa" w:w="2016"/>
            <w:vAlign w:val="top"/>
          </w:tcPr>
          <w:p>
            <w:r>
              <w:t>Request</w:t>
            </w:r>
          </w:p>
        </w:tc>
        <w:tc>
          <w:tcPr>
            <w:tcW w:type="dxa" w:w="2016"/>
            <w:vAlign w:val="top"/>
          </w:tcPr>
          <w:p>
            <w:r>
              <w:t>Approve</w:t>
            </w:r>
          </w:p>
        </w:tc>
        <w:tc>
          <w:tcPr>
            <w:tcW w:type="dxa" w:w="2016"/>
            <w:vAlign w:val="top"/>
          </w:tcPr>
          <w:p>
            <w:r>
              <w:t>Visibility</w:t>
            </w:r>
          </w:p>
        </w:tc>
        <w:tc>
          <w:tcPr>
            <w:tcW w:type="dxa" w:w="2016"/>
            <w:vAlign w:val="top"/>
          </w:tcPr>
          <w:p>
            <w:r>
              <w:t>—</w:t>
            </w:r>
          </w:p>
        </w:tc>
      </w:tr>
      <w:tr>
        <w:tc>
          <w:tcPr>
            <w:tcW w:type="dxa" w:w="2016"/>
            <w:vAlign w:val="top"/>
          </w:tcPr>
          <w:p>
            <w:r>
              <w:t>&gt;10–15%</w:t>
            </w:r>
          </w:p>
        </w:tc>
        <w:tc>
          <w:tcPr>
            <w:tcW w:type="dxa" w:w="2016"/>
            <w:vAlign w:val="top"/>
          </w:tcPr>
          <w:p>
            <w:r>
              <w:t>Request</w:t>
            </w:r>
          </w:p>
        </w:tc>
        <w:tc>
          <w:tcPr>
            <w:tcW w:type="dxa" w:w="2016"/>
            <w:vAlign w:val="top"/>
          </w:tcPr>
          <w:p>
            <w:r>
              <w:t>Recommend</w:t>
            </w:r>
          </w:p>
        </w:tc>
        <w:tc>
          <w:tcPr>
            <w:tcW w:type="dxa" w:w="2016"/>
            <w:vAlign w:val="top"/>
          </w:tcPr>
          <w:p>
            <w:r>
              <w:t>Approve</w:t>
            </w:r>
          </w:p>
        </w:tc>
        <w:tc>
          <w:tcPr>
            <w:tcW w:type="dxa" w:w="2016"/>
            <w:vAlign w:val="top"/>
          </w:tcPr>
          <w:p>
            <w:r>
              <w:t>—</w:t>
            </w:r>
          </w:p>
        </w:tc>
      </w:tr>
      <w:tr>
        <w:tc>
          <w:tcPr>
            <w:tcW w:type="dxa" w:w="2016"/>
            <w:vAlign w:val="top"/>
          </w:tcPr>
          <w:p>
            <w:r>
              <w:t>&gt;15–20%</w:t>
            </w:r>
          </w:p>
        </w:tc>
        <w:tc>
          <w:tcPr>
            <w:tcW w:type="dxa" w:w="2016"/>
            <w:vAlign w:val="top"/>
          </w:tcPr>
          <w:p>
            <w:r>
              <w:t>Request</w:t>
            </w:r>
          </w:p>
        </w:tc>
        <w:tc>
          <w:tcPr>
            <w:tcW w:type="dxa" w:w="2016"/>
            <w:vAlign w:val="top"/>
          </w:tcPr>
          <w:p>
            <w:r>
              <w:t>Recommend</w:t>
            </w:r>
          </w:p>
        </w:tc>
        <w:tc>
          <w:tcPr>
            <w:tcW w:type="dxa" w:w="2016"/>
            <w:vAlign w:val="top"/>
          </w:tcPr>
          <w:p>
            <w:r>
              <w:t>Approve</w:t>
            </w:r>
          </w:p>
        </w:tc>
        <w:tc>
          <w:tcPr>
            <w:tcW w:type="dxa" w:w="2016"/>
            <w:vAlign w:val="top"/>
          </w:tcPr>
          <w:p>
            <w:r>
              <w:t>Finance review</w:t>
            </w:r>
          </w:p>
        </w:tc>
      </w:tr>
      <w:tr>
        <w:tc>
          <w:tcPr>
            <w:tcW w:type="dxa" w:w="2016"/>
            <w:vAlign w:val="top"/>
          </w:tcPr>
          <w:p>
            <w:r>
              <w:t>&gt;20%</w:t>
            </w:r>
          </w:p>
        </w:tc>
        <w:tc>
          <w:tcPr>
            <w:tcW w:type="dxa" w:w="2016"/>
            <w:vAlign w:val="top"/>
          </w:tcPr>
          <w:p>
            <w:r>
              <w:t>Request</w:t>
            </w:r>
          </w:p>
        </w:tc>
        <w:tc>
          <w:tcPr>
            <w:tcW w:type="dxa" w:w="2016"/>
            <w:vAlign w:val="top"/>
          </w:tcPr>
          <w:p>
            <w:r>
              <w:t>Recommend</w:t>
            </w:r>
          </w:p>
        </w:tc>
        <w:tc>
          <w:tcPr>
            <w:tcW w:type="dxa" w:w="2016"/>
            <w:vAlign w:val="top"/>
          </w:tcPr>
          <w:p>
            <w:r>
              <w:t>Approve</w:t>
            </w:r>
          </w:p>
        </w:tc>
        <w:tc>
          <w:tcPr>
            <w:tcW w:type="dxa" w:w="2016"/>
            <w:vAlign w:val="top"/>
          </w:tcPr>
          <w:p>
            <w:r>
              <w:t>CFO delegate</w:t>
            </w:r>
          </w:p>
        </w:tc>
      </w:tr>
    </w:tbl>
    <w:p>
      <w:pPr>
        <w:pStyle w:val="Heading2"/>
      </w:pPr>
      <w:r>
        <w:t>1.2 Prohibited behavior</w:t>
      </w:r>
    </w:p>
    <w:p>
      <w:pPr>
        <w:pStyle w:val="ListBullet"/>
        <w:spacing w:after="40"/>
      </w:pPr>
      <w:r>
        <w:t>Splitting an order to avoid a discount threshold.</w:t>
      </w:r>
    </w:p>
    <w:p>
      <w:pPr>
        <w:pStyle w:val="ListBullet"/>
        <w:spacing w:after="40"/>
      </w:pPr>
      <w:r>
        <w:t>Backdating an approval.</w:t>
      </w:r>
    </w:p>
    <w:p>
      <w:pPr>
        <w:pStyle w:val="ListBullet"/>
        <w:spacing w:after="40"/>
      </w:pPr>
      <w:r>
        <w:t>Describing a discount as a temporary exception when it is intended as recurring pricing.</w:t>
      </w:r>
    </w:p>
    <w:p>
      <w:pPr>
        <w:pStyle w:val="ListBullet"/>
        <w:spacing w:after="40"/>
      </w:pPr>
      <w:r>
        <w:t>Offering unapproved free services or implementation credits.</w:t>
      </w:r>
    </w:p>
    <w:p>
      <w:pPr>
        <w:pStyle w:val="ListBullet"/>
        <w:spacing w:after="40"/>
      </w:pPr>
      <w:r>
        <w:t>Using a personal promise to compensate for a commercial concession.</w:t>
      </w:r>
    </w:p>
    <w:p>
      <w:r>
        <w:br w:type="page"/>
      </w:r>
    </w:p>
    <w:p>
      <w:pPr>
        <w:pStyle w:val="Heading1"/>
      </w:pPr>
      <w:r>
        <w:t>2. Discount Eligibility and Justification</w:t>
      </w:r>
    </w:p>
    <w:p>
      <w:pPr>
        <w:pStyle w:val="Heading2"/>
      </w:pPr>
      <w:r>
        <w:t>2.1 Acceptable justification</w:t>
      </w:r>
    </w:p>
    <w:p>
      <w:pPr>
        <w:pStyle w:val="ListBullet"/>
        <w:spacing w:after="40"/>
      </w:pPr>
      <w:r>
        <w:t>Multi-year commitment</w:t>
      </w:r>
    </w:p>
    <w:p>
      <w:pPr>
        <w:pStyle w:val="ListBullet"/>
        <w:spacing w:after="40"/>
      </w:pPr>
      <w:r>
        <w:t>Material expansion volume</w:t>
      </w:r>
    </w:p>
    <w:p>
      <w:pPr>
        <w:pStyle w:val="ListBullet"/>
        <w:spacing w:after="40"/>
      </w:pPr>
      <w:r>
        <w:t>Competitive displacement</w:t>
      </w:r>
    </w:p>
    <w:p>
      <w:pPr>
        <w:pStyle w:val="ListBullet"/>
        <w:spacing w:after="40"/>
      </w:pPr>
      <w:r>
        <w:t>Strategic reference account</w:t>
      </w:r>
    </w:p>
    <w:p>
      <w:pPr>
        <w:pStyle w:val="ListBullet"/>
        <w:spacing w:after="40"/>
      </w:pPr>
      <w:r>
        <w:t>Pre-approved segment promotion</w:t>
      </w:r>
    </w:p>
    <w:p>
      <w:pPr>
        <w:pStyle w:val="ListBullet"/>
        <w:spacing w:after="40"/>
      </w:pPr>
      <w:r>
        <w:t>Contract consolidation</w:t>
      </w:r>
    </w:p>
    <w:p>
      <w:pPr>
        <w:pStyle w:val="Heading2"/>
      </w:pPr>
      <w:r>
        <w:t>2.2 Required evidence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Discount band</w:t>
            </w:r>
          </w:p>
        </w:tc>
        <w:tc>
          <w:tcPr>
            <w:tcW w:type="dxa" w:w="5040"/>
          </w:tcPr>
          <w:p>
            <w:r>
              <w:rPr>
                <w:b/>
              </w:rPr>
              <w:t>Required evidence</w:t>
            </w:r>
          </w:p>
        </w:tc>
      </w:tr>
      <w:tr>
        <w:tc>
          <w:tcPr>
            <w:tcW w:type="dxa" w:w="5040"/>
            <w:vAlign w:val="top"/>
          </w:tcPr>
          <w:p>
            <w:r>
              <w:t>≤5%</w:t>
            </w:r>
          </w:p>
        </w:tc>
        <w:tc>
          <w:tcPr>
            <w:tcW w:type="dxa" w:w="5040"/>
            <w:vAlign w:val="top"/>
          </w:tcPr>
          <w:p>
            <w:r>
              <w:t>Opportunity value + business rationale</w:t>
            </w:r>
          </w:p>
        </w:tc>
      </w:tr>
      <w:tr>
        <w:tc>
          <w:tcPr>
            <w:tcW w:type="dxa" w:w="5040"/>
            <w:vAlign w:val="top"/>
          </w:tcPr>
          <w:p>
            <w:r>
              <w:t>&gt;5–10%</w:t>
            </w:r>
          </w:p>
        </w:tc>
        <w:tc>
          <w:tcPr>
            <w:tcW w:type="dxa" w:w="5040"/>
            <w:vAlign w:val="top"/>
          </w:tcPr>
          <w:p>
            <w:r>
              <w:t>Competitive/volume rationale + manager approval</w:t>
            </w:r>
          </w:p>
        </w:tc>
      </w:tr>
      <w:tr>
        <w:tc>
          <w:tcPr>
            <w:tcW w:type="dxa" w:w="5040"/>
            <w:vAlign w:val="top"/>
          </w:tcPr>
          <w:p>
            <w:r>
              <w:t>&gt;10–15%</w:t>
            </w:r>
          </w:p>
        </w:tc>
        <w:tc>
          <w:tcPr>
            <w:tcW w:type="dxa" w:w="5040"/>
            <w:vAlign w:val="top"/>
          </w:tcPr>
          <w:p>
            <w:r>
              <w:t>Commercial comparison + margin impact</w:t>
            </w:r>
          </w:p>
        </w:tc>
      </w:tr>
      <w:tr>
        <w:tc>
          <w:tcPr>
            <w:tcW w:type="dxa" w:w="5040"/>
            <w:vAlign w:val="top"/>
          </w:tcPr>
          <w:p>
            <w:r>
              <w:t>&gt;15–20%</w:t>
            </w:r>
          </w:p>
        </w:tc>
        <w:tc>
          <w:tcPr>
            <w:tcW w:type="dxa" w:w="5040"/>
            <w:vAlign w:val="top"/>
          </w:tcPr>
          <w:p>
            <w:r>
              <w:t>Executive rationale + Finance review</w:t>
            </w:r>
          </w:p>
        </w:tc>
      </w:tr>
      <w:tr>
        <w:tc>
          <w:tcPr>
            <w:tcW w:type="dxa" w:w="5040"/>
            <w:vAlign w:val="top"/>
          </w:tcPr>
          <w:p>
            <w:r>
              <w:t>&gt;20%</w:t>
            </w:r>
          </w:p>
        </w:tc>
        <w:tc>
          <w:tcPr>
            <w:tcW w:type="dxa" w:w="5040"/>
            <w:vAlign w:val="top"/>
          </w:tcPr>
          <w:p>
            <w:r>
              <w:t>Strategic justification + CFO delegate review</w:t>
            </w:r>
          </w:p>
        </w:tc>
      </w:tr>
    </w:tbl>
    <w:p>
      <w:pPr>
        <w:pStyle w:val="Heading2"/>
      </w:pPr>
      <w:r>
        <w:t>2.3 Margin protection</w:t>
      </w:r>
    </w:p>
    <w:p>
      <w:pPr>
        <w:spacing w:after="100"/>
      </w:pPr>
      <w:r>
        <w:t>Discount approval does not override minimum gross-margin requirements. Finance may reject a discount even when the approval level is otherwise satisfied if the proposed economics fall below the product or deal floor.</w:t>
      </w:r>
    </w:p>
    <w:p>
      <w:r>
        <w:br w:type="page"/>
      </w:r>
    </w:p>
    <w:p>
      <w:pPr>
        <w:pStyle w:val="Heading1"/>
      </w:pPr>
      <w:r>
        <w:t>3. Multi-Year and Renewal Discounts</w:t>
      </w:r>
    </w:p>
    <w:p>
      <w:pPr>
        <w:pStyle w:val="Heading2"/>
      </w:pPr>
      <w:r>
        <w:t>3.1 Contract duration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Term</w:t>
            </w:r>
          </w:p>
        </w:tc>
        <w:tc>
          <w:tcPr>
            <w:tcW w:type="dxa" w:w="3360"/>
          </w:tcPr>
          <w:p>
            <w:r>
              <w:rPr>
                <w:b/>
              </w:rPr>
              <w:t>Maximum standard discount</w:t>
            </w:r>
          </w:p>
        </w:tc>
        <w:tc>
          <w:tcPr>
            <w:tcW w:type="dxa" w:w="3360"/>
          </w:tcPr>
          <w:p>
            <w:r>
              <w:rPr>
                <w:b/>
              </w:rPr>
              <w:t>Conditions</w:t>
            </w:r>
          </w:p>
        </w:tc>
      </w:tr>
      <w:tr>
        <w:tc>
          <w:tcPr>
            <w:tcW w:type="dxa" w:w="3360"/>
            <w:vAlign w:val="top"/>
          </w:tcPr>
          <w:p>
            <w:r>
              <w:t>1 year</w:t>
            </w:r>
          </w:p>
        </w:tc>
        <w:tc>
          <w:tcPr>
            <w:tcW w:type="dxa" w:w="3360"/>
            <w:vAlign w:val="top"/>
          </w:tcPr>
          <w:p>
            <w:r>
              <w:t>10%</w:t>
            </w:r>
          </w:p>
        </w:tc>
        <w:tc>
          <w:tcPr>
            <w:tcW w:type="dxa" w:w="3360"/>
            <w:vAlign w:val="top"/>
          </w:tcPr>
          <w:p>
            <w:r>
              <w:t>Standard pricing guardrails</w:t>
            </w:r>
          </w:p>
        </w:tc>
      </w:tr>
      <w:tr>
        <w:tc>
          <w:tcPr>
            <w:tcW w:type="dxa" w:w="3360"/>
            <w:vAlign w:val="top"/>
          </w:tcPr>
          <w:p>
            <w:r>
              <w:t>2 years</w:t>
            </w:r>
          </w:p>
        </w:tc>
        <w:tc>
          <w:tcPr>
            <w:tcW w:type="dxa" w:w="3360"/>
            <w:vAlign w:val="top"/>
          </w:tcPr>
          <w:p>
            <w:r>
              <w:t>15%</w:t>
            </w:r>
          </w:p>
        </w:tc>
        <w:tc>
          <w:tcPr>
            <w:tcW w:type="dxa" w:w="3360"/>
            <w:vAlign w:val="top"/>
          </w:tcPr>
          <w:p>
            <w:r>
              <w:t>Annual payment preferred</w:t>
            </w:r>
          </w:p>
        </w:tc>
      </w:tr>
      <w:tr>
        <w:tc>
          <w:tcPr>
            <w:tcW w:type="dxa" w:w="3360"/>
            <w:vAlign w:val="top"/>
          </w:tcPr>
          <w:p>
            <w:r>
              <w:t>3 years</w:t>
            </w:r>
          </w:p>
        </w:tc>
        <w:tc>
          <w:tcPr>
            <w:tcW w:type="dxa" w:w="3360"/>
            <w:vAlign w:val="top"/>
          </w:tcPr>
          <w:p>
            <w:r>
              <w:t>20%</w:t>
            </w:r>
          </w:p>
        </w:tc>
        <w:tc>
          <w:tcPr>
            <w:tcW w:type="dxa" w:w="3360"/>
            <w:vAlign w:val="top"/>
          </w:tcPr>
          <w:p>
            <w:r>
              <w:t>Executive approval</w:t>
            </w:r>
          </w:p>
        </w:tc>
      </w:tr>
      <w:tr>
        <w:tc>
          <w:tcPr>
            <w:tcW w:type="dxa" w:w="3360"/>
            <w:vAlign w:val="top"/>
          </w:tcPr>
          <w:p>
            <w:r>
              <w:t>4+ years</w:t>
            </w:r>
          </w:p>
        </w:tc>
        <w:tc>
          <w:tcPr>
            <w:tcW w:type="dxa" w:w="3360"/>
            <w:vAlign w:val="top"/>
          </w:tcPr>
          <w:p>
            <w:r>
              <w:t>Case-by-case</w:t>
            </w:r>
          </w:p>
        </w:tc>
        <w:tc>
          <w:tcPr>
            <w:tcW w:type="dxa" w:w="3360"/>
            <w:vAlign w:val="top"/>
          </w:tcPr>
          <w:p>
            <w:r>
              <w:t>CFO delegate + Finance</w:t>
            </w:r>
          </w:p>
        </w:tc>
      </w:tr>
    </w:tbl>
    <w:p>
      <w:pPr>
        <w:pStyle w:val="Heading2"/>
      </w:pPr>
      <w:r>
        <w:t>3.2 Renewal rules</w:t>
      </w:r>
    </w:p>
    <w:p>
      <w:pPr>
        <w:pStyle w:val="ListBullet"/>
        <w:spacing w:after="40"/>
      </w:pPr>
      <w:r>
        <w:t>Renewal discounts must be evaluated against current contract value, usage and expansion potential.</w:t>
      </w:r>
    </w:p>
    <w:p>
      <w:pPr>
        <w:pStyle w:val="ListBullet"/>
        <w:spacing w:after="40"/>
      </w:pPr>
      <w:r>
        <w:t>A renewal discount cannot be assumed from the prior year's concession.</w:t>
      </w:r>
    </w:p>
    <w:p>
      <w:pPr>
        <w:pStyle w:val="ListBullet"/>
        <w:spacing w:after="40"/>
      </w:pPr>
      <w:r>
        <w:t>Expansion and renewal discounts should be separated in the commercial proposal.</w:t>
      </w:r>
    </w:p>
    <w:p>
      <w:pPr>
        <w:pStyle w:val="ListBullet"/>
        <w:spacing w:after="40"/>
      </w:pPr>
      <w:r>
        <w:t>Credits for service issues require Customer Success and Finance validation.</w:t>
      </w:r>
    </w:p>
    <w:p>
      <w:pPr>
        <w:pStyle w:val="Heading2"/>
      </w:pPr>
      <w:r>
        <w:t>3.3 Price protection</w:t>
      </w:r>
    </w:p>
    <w:p>
      <w:pPr>
        <w:spacing w:after="100"/>
      </w:pPr>
      <w:r>
        <w:t>Price-protection clauses extending beyond 12 months require Finance review because they affect future price realization and forecast assumptions.</w:t>
      </w:r>
    </w:p>
    <w:p>
      <w:r>
        <w:br w:type="page"/>
      </w:r>
    </w:p>
    <w:p>
      <w:pPr>
        <w:pStyle w:val="Heading1"/>
      </w:pPr>
      <w:r>
        <w:t>4. Bundles, Credits and Non-Cash Concessions</w:t>
      </w:r>
    </w:p>
    <w:p>
      <w:pPr>
        <w:pStyle w:val="Heading2"/>
      </w:pPr>
      <w:r>
        <w:t>4.1 Non-price concessions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Concession</w:t>
            </w:r>
          </w:p>
        </w:tc>
        <w:tc>
          <w:tcPr>
            <w:tcW w:type="dxa" w:w="3360"/>
          </w:tcPr>
          <w:p>
            <w:r>
              <w:rPr>
                <w:b/>
              </w:rPr>
              <w:t>Standard limit</w:t>
            </w:r>
          </w:p>
        </w:tc>
        <w:tc>
          <w:tcPr>
            <w:tcW w:type="dxa" w:w="3360"/>
          </w:tcPr>
          <w:p>
            <w:r>
              <w:rPr>
                <w:b/>
              </w:rPr>
              <w:t>Approval</w:t>
            </w:r>
          </w:p>
        </w:tc>
      </w:tr>
      <w:tr>
        <w:tc>
          <w:tcPr>
            <w:tcW w:type="dxa" w:w="3360"/>
            <w:vAlign w:val="top"/>
          </w:tcPr>
          <w:p>
            <w:r>
              <w:t>Free implementation days</w:t>
            </w:r>
          </w:p>
        </w:tc>
        <w:tc>
          <w:tcPr>
            <w:tcW w:type="dxa" w:w="3360"/>
            <w:vAlign w:val="top"/>
          </w:tcPr>
          <w:p>
            <w:r>
              <w:t>Up to 2 days</w:t>
            </w:r>
          </w:p>
        </w:tc>
        <w:tc>
          <w:tcPr>
            <w:tcW w:type="dxa" w:w="3360"/>
            <w:vAlign w:val="top"/>
          </w:tcPr>
          <w:p>
            <w:r>
              <w:t>Sales Manager</w:t>
            </w:r>
          </w:p>
        </w:tc>
      </w:tr>
      <w:tr>
        <w:tc>
          <w:tcPr>
            <w:tcW w:type="dxa" w:w="3360"/>
            <w:vAlign w:val="top"/>
          </w:tcPr>
          <w:p>
            <w:r>
              <w:t>Training seats</w:t>
            </w:r>
          </w:p>
        </w:tc>
        <w:tc>
          <w:tcPr>
            <w:tcW w:type="dxa" w:w="3360"/>
            <w:vAlign w:val="top"/>
          </w:tcPr>
          <w:p>
            <w:r>
              <w:t>Up to 10</w:t>
            </w:r>
          </w:p>
        </w:tc>
        <w:tc>
          <w:tcPr>
            <w:tcW w:type="dxa" w:w="3360"/>
            <w:vAlign w:val="top"/>
          </w:tcPr>
          <w:p>
            <w:r>
              <w:t>Sales Manager</w:t>
            </w:r>
          </w:p>
        </w:tc>
      </w:tr>
      <w:tr>
        <w:tc>
          <w:tcPr>
            <w:tcW w:type="dxa" w:w="3360"/>
            <w:vAlign w:val="top"/>
          </w:tcPr>
          <w:p>
            <w:r>
              <w:t>Premium support trial</w:t>
            </w:r>
          </w:p>
        </w:tc>
        <w:tc>
          <w:tcPr>
            <w:tcW w:type="dxa" w:w="3360"/>
            <w:vAlign w:val="top"/>
          </w:tcPr>
          <w:p>
            <w:r>
              <w:t>30 days</w:t>
            </w:r>
          </w:p>
        </w:tc>
        <w:tc>
          <w:tcPr>
            <w:tcW w:type="dxa" w:w="3360"/>
            <w:vAlign w:val="top"/>
          </w:tcPr>
          <w:p>
            <w:r>
              <w:t>VP Sales</w:t>
            </w:r>
          </w:p>
        </w:tc>
      </w:tr>
      <w:tr>
        <w:tc>
          <w:tcPr>
            <w:tcW w:type="dxa" w:w="3360"/>
            <w:vAlign w:val="top"/>
          </w:tcPr>
          <w:p>
            <w:r>
              <w:t>Service credit</w:t>
            </w:r>
          </w:p>
        </w:tc>
        <w:tc>
          <w:tcPr>
            <w:tcW w:type="dxa" w:w="3360"/>
            <w:vAlign w:val="top"/>
          </w:tcPr>
          <w:p>
            <w:r>
              <w:t>≤5% annual contract value</w:t>
            </w:r>
          </w:p>
        </w:tc>
        <w:tc>
          <w:tcPr>
            <w:tcW w:type="dxa" w:w="3360"/>
            <w:vAlign w:val="top"/>
          </w:tcPr>
          <w:p>
            <w:r>
              <w:t>Finance + CS</w:t>
            </w:r>
          </w:p>
        </w:tc>
      </w:tr>
      <w:tr>
        <w:tc>
          <w:tcPr>
            <w:tcW w:type="dxa" w:w="3360"/>
            <w:vAlign w:val="top"/>
          </w:tcPr>
          <w:p>
            <w:r>
              <w:t>Custom development</w:t>
            </w:r>
          </w:p>
        </w:tc>
        <w:tc>
          <w:tcPr>
            <w:tcW w:type="dxa" w:w="3360"/>
            <w:vAlign w:val="top"/>
          </w:tcPr>
          <w:p>
            <w:r>
              <w:t>Case-by-case</w:t>
            </w:r>
          </w:p>
        </w:tc>
        <w:tc>
          <w:tcPr>
            <w:tcW w:type="dxa" w:w="3360"/>
            <w:vAlign w:val="top"/>
          </w:tcPr>
          <w:p>
            <w:r>
              <w:t>Product + Engineering + Finance</w:t>
            </w:r>
          </w:p>
        </w:tc>
      </w:tr>
    </w:tbl>
    <w:p>
      <w:pPr>
        <w:pStyle w:val="Heading2"/>
      </w:pPr>
      <w:r>
        <w:t>4.2 Valuation</w:t>
      </w:r>
    </w:p>
    <w:p>
      <w:pPr>
        <w:spacing w:after="100"/>
      </w:pPr>
      <w:r>
        <w:t>Non-cash concessions must be recorded at their estimated internal cost or list value, whichever is required by Finance's commercial model. Sales must not hide concession value by presenting it as an unrelated free item.</w:t>
      </w:r>
    </w:p>
    <w:p>
      <w:pPr>
        <w:pStyle w:val="Heading2"/>
      </w:pPr>
      <w:r>
        <w:t>4.3 Free pilots</w:t>
      </w:r>
    </w:p>
    <w:p>
      <w:pPr>
        <w:spacing w:after="100"/>
      </w:pPr>
      <w:r>
        <w:t>A standard proof-of-value should not exceed 30 calendar days without documented extension approval. Any production use during a free period must have explicit data, security and support ownership.</w:t>
      </w:r>
    </w:p>
    <w:p>
      <w:r>
        <w:br w:type="page"/>
      </w:r>
    </w:p>
    <w:p>
      <w:pPr>
        <w:pStyle w:val="Heading1"/>
      </w:pPr>
      <w:r>
        <w:t>5. Approval Workflow and Audit</w:t>
      </w:r>
    </w:p>
    <w:p>
      <w:pPr>
        <w:pStyle w:val="Heading2"/>
      </w:pPr>
      <w:r>
        <w:t>5.1 Workflow</w:t>
      </w:r>
    </w:p>
    <w:p>
      <w:pPr>
        <w:pStyle w:val="ListBullet"/>
        <w:spacing w:after="40"/>
      </w:pPr>
      <w:r>
        <w:t>Create commercial request in CRM.</w:t>
      </w:r>
    </w:p>
    <w:p>
      <w:pPr>
        <w:pStyle w:val="ListBullet"/>
        <w:spacing w:after="40"/>
      </w:pPr>
      <w:r>
        <w:t>Attach pricing proposal and justification.</w:t>
      </w:r>
    </w:p>
    <w:p>
      <w:pPr>
        <w:pStyle w:val="ListBullet"/>
        <w:spacing w:after="40"/>
      </w:pPr>
      <w:r>
        <w:t>Manager reviews economics and customer context.</w:t>
      </w:r>
    </w:p>
    <w:p>
      <w:pPr>
        <w:pStyle w:val="ListBullet"/>
        <w:spacing w:after="40"/>
      </w:pPr>
      <w:r>
        <w:t>Finance reviews margin where required.</w:t>
      </w:r>
    </w:p>
    <w:p>
      <w:pPr>
        <w:pStyle w:val="ListBullet"/>
        <w:spacing w:after="40"/>
      </w:pPr>
      <w:r>
        <w:t>Authorized approver accepts/rejects.</w:t>
      </w:r>
    </w:p>
    <w:p>
      <w:pPr>
        <w:pStyle w:val="ListBullet"/>
        <w:spacing w:after="40"/>
      </w:pPr>
      <w:r>
        <w:t>Revenue Operations records final approved discount before quote issuance.</w:t>
      </w:r>
    </w:p>
    <w:p>
      <w:pPr>
        <w:pStyle w:val="Heading2"/>
      </w:pPr>
      <w:r>
        <w:t>5.2 SLA targets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Request type</w:t>
            </w:r>
          </w:p>
        </w:tc>
        <w:tc>
          <w:tcPr>
            <w:tcW w:type="dxa" w:w="5040"/>
          </w:tcPr>
          <w:p>
            <w:r>
              <w:rPr>
                <w:b/>
              </w:rPr>
              <w:t>Target review</w:t>
            </w:r>
          </w:p>
        </w:tc>
      </w:tr>
      <w:tr>
        <w:tc>
          <w:tcPr>
            <w:tcW w:type="dxa" w:w="5040"/>
            <w:vAlign w:val="top"/>
          </w:tcPr>
          <w:p>
            <w:r>
              <w:t>≤10% discount</w:t>
            </w:r>
          </w:p>
        </w:tc>
        <w:tc>
          <w:tcPr>
            <w:tcW w:type="dxa" w:w="5040"/>
            <w:vAlign w:val="top"/>
          </w:tcPr>
          <w:p>
            <w:r>
              <w:t>4 business hours</w:t>
            </w:r>
          </w:p>
        </w:tc>
      </w:tr>
      <w:tr>
        <w:tc>
          <w:tcPr>
            <w:tcW w:type="dxa" w:w="5040"/>
            <w:vAlign w:val="top"/>
          </w:tcPr>
          <w:p>
            <w:r>
              <w:t>10–20%</w:t>
            </w:r>
          </w:p>
        </w:tc>
        <w:tc>
          <w:tcPr>
            <w:tcW w:type="dxa" w:w="5040"/>
            <w:vAlign w:val="top"/>
          </w:tcPr>
          <w:p>
            <w:r>
              <w:t>1 business day</w:t>
            </w:r>
          </w:p>
        </w:tc>
      </w:tr>
      <w:tr>
        <w:tc>
          <w:tcPr>
            <w:tcW w:type="dxa" w:w="5040"/>
            <w:vAlign w:val="top"/>
          </w:tcPr>
          <w:p>
            <w:r>
              <w:t>&gt;20%</w:t>
            </w:r>
          </w:p>
        </w:tc>
        <w:tc>
          <w:tcPr>
            <w:tcW w:type="dxa" w:w="5040"/>
            <w:vAlign w:val="top"/>
          </w:tcPr>
          <w:p>
            <w:r>
              <w:t>2 business days</w:t>
            </w:r>
          </w:p>
        </w:tc>
      </w:tr>
      <w:tr>
        <w:tc>
          <w:tcPr>
            <w:tcW w:type="dxa" w:w="5040"/>
            <w:vAlign w:val="top"/>
          </w:tcPr>
          <w:p>
            <w:r>
              <w:t>Quarter-end exception</w:t>
            </w:r>
          </w:p>
        </w:tc>
        <w:tc>
          <w:tcPr>
            <w:tcW w:type="dxa" w:w="5040"/>
            <w:vAlign w:val="top"/>
          </w:tcPr>
          <w:p>
            <w:r>
              <w:t>Same business day where feasible</w:t>
            </w:r>
          </w:p>
        </w:tc>
      </w:tr>
    </w:tbl>
    <w:p>
      <w:pPr>
        <w:pStyle w:val="Heading2"/>
      </w:pPr>
      <w:r>
        <w:t>5.3 Audit controls</w:t>
      </w:r>
    </w:p>
    <w:p>
      <w:pPr>
        <w:spacing w:after="100"/>
      </w:pPr>
      <w:r>
        <w:t>Revenue Operations samples approved discounts monthly. Any discount without an approval record is treated as an exception and may be excluded from commissionable bookings until resolved.</w:t>
      </w:r>
    </w:p>
    <w:p>
      <w:r>
        <w:br w:type="page"/>
      </w:r>
    </w:p>
    <w:p>
      <w:pPr>
        <w:pStyle w:val="Heading1"/>
      </w:pPr>
      <w:r>
        <w:t>6. FY26 Discount Analytics</w:t>
      </w:r>
    </w:p>
    <w:p>
      <w:pPr>
        <w:pStyle w:val="Heading2"/>
      </w:pPr>
      <w:r>
        <w:t>6.1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FY26 value</w:t>
            </w:r>
          </w:p>
        </w:tc>
      </w:tr>
      <w:tr>
        <w:tc>
          <w:tcPr>
            <w:tcW w:type="dxa" w:w="5040"/>
            <w:vAlign w:val="top"/>
          </w:tcPr>
          <w:p>
            <w:r>
              <w:t>Average discount on closed-won deals</w:t>
            </w:r>
          </w:p>
        </w:tc>
        <w:tc>
          <w:tcPr>
            <w:tcW w:type="dxa" w:w="5040"/>
            <w:vAlign w:val="top"/>
          </w:tcPr>
          <w:p>
            <w:r>
              <w:t>7.8%</w:t>
            </w:r>
          </w:p>
        </w:tc>
      </w:tr>
      <w:tr>
        <w:tc>
          <w:tcPr>
            <w:tcW w:type="dxa" w:w="5040"/>
            <w:vAlign w:val="top"/>
          </w:tcPr>
          <w:p>
            <w:r>
              <w:t>Deals with &gt;10% discount</w:t>
            </w:r>
          </w:p>
        </w:tc>
        <w:tc>
          <w:tcPr>
            <w:tcW w:type="dxa" w:w="5040"/>
            <w:vAlign w:val="top"/>
          </w:tcPr>
          <w:p>
            <w:r>
              <w:t>18.6%</w:t>
            </w:r>
          </w:p>
        </w:tc>
      </w:tr>
      <w:tr>
        <w:tc>
          <w:tcPr>
            <w:tcW w:type="dxa" w:w="5040"/>
            <w:vAlign w:val="top"/>
          </w:tcPr>
          <w:p>
            <w:r>
              <w:t>Deals with &gt;20% discount</w:t>
            </w:r>
          </w:p>
        </w:tc>
        <w:tc>
          <w:tcPr>
            <w:tcW w:type="dxa" w:w="5040"/>
            <w:vAlign w:val="top"/>
          </w:tcPr>
          <w:p>
            <w:r>
              <w:t>3.4%</w:t>
            </w:r>
          </w:p>
        </w:tc>
      </w:tr>
      <w:tr>
        <w:tc>
          <w:tcPr>
            <w:tcW w:type="dxa" w:w="5040"/>
            <w:vAlign w:val="top"/>
          </w:tcPr>
          <w:p>
            <w:r>
              <w:t>Average approval turnaround</w:t>
            </w:r>
          </w:p>
        </w:tc>
        <w:tc>
          <w:tcPr>
            <w:tcW w:type="dxa" w:w="5040"/>
            <w:vAlign w:val="top"/>
          </w:tcPr>
          <w:p>
            <w:r>
              <w:t>6.7 business hours</w:t>
            </w:r>
          </w:p>
        </w:tc>
      </w:tr>
      <w:tr>
        <w:tc>
          <w:tcPr>
            <w:tcW w:type="dxa" w:w="5040"/>
            <w:vAlign w:val="top"/>
          </w:tcPr>
          <w:p>
            <w:r>
              <w:t>Discount exceptions</w:t>
            </w:r>
          </w:p>
        </w:tc>
        <w:tc>
          <w:tcPr>
            <w:tcW w:type="dxa" w:w="5040"/>
            <w:vAlign w:val="top"/>
          </w:tcPr>
          <w:p>
            <w:r>
              <w:t>41</w:t>
            </w:r>
          </w:p>
        </w:tc>
      </w:tr>
      <w:tr>
        <w:tc>
          <w:tcPr>
            <w:tcW w:type="dxa" w:w="5040"/>
            <w:vAlign w:val="top"/>
          </w:tcPr>
          <w:p>
            <w:r>
              <w:t>Median contract term</w:t>
            </w:r>
          </w:p>
        </w:tc>
        <w:tc>
          <w:tcPr>
            <w:tcW w:type="dxa" w:w="5040"/>
            <w:vAlign w:val="top"/>
          </w:tcPr>
          <w:p>
            <w:r>
              <w:t>24 months</w:t>
            </w:r>
          </w:p>
        </w:tc>
      </w:tr>
      <w:tr>
        <w:tc>
          <w:tcPr>
            <w:tcW w:type="dxa" w:w="5040"/>
            <w:vAlign w:val="top"/>
          </w:tcPr>
          <w:p>
            <w:r>
              <w:t>Deals with non-cash concession</w:t>
            </w:r>
          </w:p>
        </w:tc>
        <w:tc>
          <w:tcPr>
            <w:tcW w:type="dxa" w:w="5040"/>
            <w:vAlign w:val="top"/>
          </w:tcPr>
          <w:p>
            <w:r>
              <w:t>12.9%</w:t>
            </w:r>
          </w:p>
        </w:tc>
      </w:tr>
    </w:tbl>
    <w:p>
      <w:pPr>
        <w:pStyle w:val="Heading2"/>
      </w:pPr>
      <w:r>
        <w:t>6.2 Control objective</w:t>
      </w:r>
    </w:p>
    <w:p>
      <w:pPr>
        <w:spacing w:after="100"/>
      </w:pPr>
      <w:r>
        <w:t>The FY27 objective is to keep average discount below 7.5% while preserving strategic win rates. Revenue Operations should distinguish pricing pressure from avoidable discounting caused by weak qualification or late commercial planning.</w:t>
      </w:r>
    </w:p>
    <w:p>
      <w:pPr>
        <w:spacing w:after="100"/>
      </w:pPr>
      <w:r>
        <w:t>Document control: NC-SAL-DISC-2026-08 | Version 2.7 | Next review 31 Jul 2027.</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