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07">
      <w:pPr>
        <w:tabs>
          <w:tab w:val="left"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08">
      <w:pPr>
        <w:tabs>
          <w:tab w:val="left" w:pos="1134"/>
          <w:tab w:val="right"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Present</w:t>
      </w:r>
      <w:r w:rsidDel="00000000" w:rsidR="00000000" w:rsidRPr="00000000">
        <w:rPr>
          <w:rtl w:val="0"/>
        </w:rPr>
      </w:r>
    </w:p>
    <w:p w:rsidR="00000000" w:rsidDel="00000000" w:rsidP="00000000" w:rsidRDefault="00000000" w:rsidRPr="00000000" w14:paraId="00000009">
      <w:pPr>
        <w:tabs>
          <w:tab w:val="left" w:pos="1134"/>
          <w:tab w:val="right" w:pos="10503"/>
        </w:tabs>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DevOps Engineer </w:t>
      </w:r>
    </w:p>
    <w:p w:rsidR="00000000" w:rsidDel="00000000" w:rsidP="00000000" w:rsidRDefault="00000000" w:rsidRPr="00000000" w14:paraId="0000000A">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multiple roles in the ICC Tradecomm Supply Chain Finance Project at </w:t>
      </w:r>
      <w:r w:rsidDel="00000000" w:rsidR="00000000" w:rsidRPr="00000000">
        <w:rPr>
          <w:rFonts w:ascii="Arial" w:cs="Arial" w:eastAsia="Arial" w:hAnsi="Arial"/>
          <w:b w:val="1"/>
          <w:sz w:val="22"/>
          <w:szCs w:val="22"/>
          <w:rtl w:val="0"/>
        </w:rPr>
        <w:t xml:space="preserve">Finastra</w:t>
      </w:r>
      <w:r w:rsidDel="00000000" w:rsidR="00000000" w:rsidRPr="00000000">
        <w:rPr>
          <w:rFonts w:ascii="Arial" w:cs="Arial" w:eastAsia="Arial" w:hAnsi="Arial"/>
          <w:sz w:val="22"/>
          <w:szCs w:val="22"/>
          <w:rtl w:val="0"/>
        </w:rPr>
        <w:t xml:space="preserve"> which is one of the largest fintech companies in the world.</w:t>
      </w:r>
    </w:p>
    <w:p w:rsidR="00000000" w:rsidDel="00000000" w:rsidP="00000000" w:rsidRDefault="00000000" w:rsidRPr="00000000" w14:paraId="0000000B">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0C">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Camunda Tool in Kubernetes architecture.</w:t>
      </w:r>
    </w:p>
    <w:p w:rsidR="00000000" w:rsidDel="00000000" w:rsidP="00000000" w:rsidRDefault="00000000" w:rsidRPr="00000000" w14:paraId="0000000D">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0E">
      <w:pPr>
        <w:tabs>
          <w:tab w:val="left" w:pos="1134"/>
          <w:tab w:val="right"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0F">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0">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1">
      <w:pPr>
        <w:tabs>
          <w:tab w:val="left" w:pos="1134"/>
          <w:tab w:val="right"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2">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13">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increased the performance of the APIs from 20 to 100 percent.</w:t>
      </w:r>
    </w:p>
    <w:p w:rsidR="00000000" w:rsidDel="00000000" w:rsidP="00000000" w:rsidRDefault="00000000" w:rsidRPr="00000000" w14:paraId="00000014">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w:t>
      </w:r>
      <w:r w:rsidDel="00000000" w:rsidR="00000000" w:rsidRPr="00000000">
        <w:rPr>
          <w:rtl w:val="0"/>
        </w:rPr>
      </w:r>
    </w:p>
    <w:p w:rsidR="00000000" w:rsidDel="00000000" w:rsidP="00000000" w:rsidRDefault="00000000" w:rsidRPr="00000000" w14:paraId="00000015">
      <w:pPr>
        <w:tabs>
          <w:tab w:val="left" w:pos="630"/>
          <w:tab w:val="left"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16">
      <w:pPr>
        <w:pBdr>
          <w:bottom w:color="000000" w:space="1" w:sz="6" w:val="single"/>
        </w:pBdr>
        <w:tabs>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p>
    <w:p w:rsidR="00000000" w:rsidDel="00000000" w:rsidP="00000000" w:rsidRDefault="00000000" w:rsidRPr="00000000" w14:paraId="00000017">
      <w:pPr>
        <w:tabs>
          <w:tab w:val="left" w:pos="900"/>
        </w:tabs>
        <w:spacing w:line="276" w:lineRule="auto"/>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18">
      <w:pPr>
        <w:tabs>
          <w:tab w:val="left"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9">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1A">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1B">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1C">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1D">
      <w:pPr>
        <w:pBdr>
          <w:bottom w:color="000000" w:space="1" w:sz="6" w:val="single"/>
        </w:pBdr>
        <w:tabs>
          <w:tab w:val="left"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1E">
      <w:pPr>
        <w:pBdr>
          <w:bottom w:color="000000" w:space="1" w:sz="6" w:val="single"/>
        </w:pBdr>
        <w:tabs>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p>
    <w:p w:rsidR="00000000" w:rsidDel="00000000" w:rsidP="00000000" w:rsidRDefault="00000000" w:rsidRPr="00000000" w14:paraId="0000001F">
      <w:pPr>
        <w:tabs>
          <w:tab w:val="left" w:pos="630"/>
          <w:tab w:val="left" w:pos="900"/>
        </w:tabs>
        <w:spacing w:line="276" w:lineRule="auto"/>
        <w:rPr>
          <w:rFonts w:ascii="Arial" w:cs="Arial" w:eastAsia="Arial" w:hAnsi="Arial"/>
          <w:sz w:val="4"/>
          <w:szCs w:val="4"/>
        </w:rPr>
      </w:pPr>
      <w:r w:rsidDel="00000000" w:rsidR="00000000" w:rsidRPr="00000000">
        <w:rPr>
          <w:rtl w:val="0"/>
        </w:rPr>
      </w:r>
    </w:p>
    <w:p w:rsidR="00000000" w:rsidDel="00000000" w:rsidP="00000000" w:rsidRDefault="00000000" w:rsidRPr="00000000" w14:paraId="00000020">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1">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Azure Cloud Services, AWS Services, CI/CD Pipelines</w:t>
      </w:r>
      <w:r w:rsidDel="00000000" w:rsidR="00000000" w:rsidRPr="00000000">
        <w:rPr>
          <w:rtl w:val="0"/>
        </w:rPr>
      </w:r>
    </w:p>
    <w:p w:rsidR="00000000" w:rsidDel="00000000" w:rsidP="00000000" w:rsidRDefault="00000000" w:rsidRPr="00000000" w14:paraId="00000022">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SQL, Java, JavaScript,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3">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4">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25">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26">
      <w:pPr>
        <w:tabs>
          <w:tab w:val="left" w:pos="630"/>
          <w:tab w:val="left"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7">
      <w:pPr>
        <w:pBdr>
          <w:bottom w:color="000000" w:space="1" w:sz="6" w:val="single"/>
        </w:pBdr>
        <w:tabs>
          <w:tab w:val="left"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28">
      <w:pPr>
        <w:tabs>
          <w:tab w:val="left"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29">
      <w:pPr>
        <w:tabs>
          <w:tab w:val="left"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2A">
      <w:pPr>
        <w:tabs>
          <w:tab w:val="left" w:pos="1134"/>
          <w:tab w:val="right"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2B">
      <w:pPr>
        <w:pBdr>
          <w:bottom w:color="000000" w:space="1" w:sz="6" w:val="single"/>
        </w:pBdr>
        <w:tabs>
          <w:tab w:val="left"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2C">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2D">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E">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2F">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sectPr>
      <w:footerReference r:id="rId7" w:type="default"/>
      <w:pgSz w:h="15840" w:w="12240" w:orient="portrait"/>
      <w:pgMar w:bottom="805" w:top="765"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i08pepxjBj+fj4/1i7Z91oogg==">AMUW2mUJLcbLcjXnfdPI9faW7DT8lLt7CFptXMaO1WQw5WiukjGvqwR5pkL2dI6azWKRobkhHtbV7kK4ycgwEGG6PNwqo6OWzPbhaYBH7+Xsh8MX7W/kxOM=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