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What are the factors determining capital structure?</w:t>
      </w:r>
    </w:p>
    <w:p>
      <w:pPr>
        <w:spacing w:before="40" w:after="120" w:line="276" w:lineRule="auto"/>
        <w:ind w:left="0" w:right="0" w:firstLine="0"/>
        <w:jc w:val="left"/>
      </w:pPr>
      <w:r>
        <w:rPr>
          <w:rFonts w:ascii="Arial" w:hAnsi="Arial"/>
          <w:color w:val="1E1E1E"/>
          <w:sz w:val="21"/>
        </w:rPr>
        <w:t>Capital structure represents the specific mix of debt, equity, and other financial instruments that a corporation utilizes to fund its long-term operations, capital expenditures, and strategic growth initiatives. It serves as the foundational blueprint for a firm's financial architecture, dictating how the organization balances its obligations to creditors against its responsibilities to shareholders. According to Brigham and Houston (2021), the optimal capital structure is defined as the unique configuration of liabilities and equity that minimizes the firm’s weighted average cost of capital (WACC) while simultaneously maximizing the market value of its outstanding shares. This theoretical framework assumes that while debt provides a lower cost of capital due to the tax-deductibility of interest payments, an over-reliance on leverage increases the probability of financial distress, thereby necessitating a meticulous equilibrium between risk and potential return.</w:t>
      </w:r>
    </w:p>
    <w:p>
      <w:pPr>
        <w:spacing w:before="40" w:after="120" w:line="276" w:lineRule="auto"/>
        <w:ind w:left="0" w:right="0" w:firstLine="0"/>
        <w:jc w:val="left"/>
      </w:pPr>
      <w:r>
        <w:rPr>
          <w:rFonts w:ascii="Arial" w:hAnsi="Arial"/>
          <w:color w:val="1E1E1E"/>
          <w:sz w:val="21"/>
        </w:rPr>
        <w:t>In operational practice, the determination of capital structure functions as a continuous balancing act influenced by both internal corporate health and external macroeconomic volatility. Financial executives do not merely select a static ratio; instead, they navigate a complex landscape of interest rate environments, industry benchmarks, and investor expectations to ensure the firm remains solvent during downturns while remaining aggressive during periods of expansion. This functional reality requires a deep understanding of the "Trade-off Theory," which weighs the benefits of tax shields against the costs of bankruptcy, and the "Pecking Order Theory," which suggests that firms prioritize internal financing over debt and equity to minimize information asymmetry. Ultimately, the capital structure serves as a primary lever for value creation, influencing everything from credit ratings to the firm's ability to pursue transformative mergers and acquisitions.</w:t>
      </w:r>
    </w:p>
    <w:p>
      <w:pPr>
        <w:keepNext/>
        <w:spacing w:before="220" w:after="100" w:line="276" w:lineRule="auto"/>
        <w:ind w:left="0" w:right="0" w:firstLine="0"/>
        <w:jc w:val="left"/>
      </w:pPr>
      <w:r>
        <w:rPr>
          <w:rFonts w:ascii="Arial" w:hAnsi="Arial"/>
          <w:b/>
          <w:color w:val="111827"/>
          <w:sz w:val="25"/>
        </w:rPr>
        <w:t>Core Pillars of Capital Structure Determination</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Weighted Average Cost of Capital and Tax Optimization:</w:t>
      </w:r>
      <w:r>
        <w:rPr>
          <w:rFonts w:ascii="Arial" w:hAnsi="Arial"/>
          <w:color w:val="1E1E1E"/>
          <w:sz w:val="21"/>
        </w:rPr>
        <w:t xml:space="preserve"> The primary driver of capital structure is the pursuit of the lowest possible WACC, which serves as the discount rate for evaluating future projects. Debt is generally considered a cheaper source of funding than equity because creditors hold a senior claim on assets and because interest payments are tax-deductible in most jurisdictions. This "tax shield" incentivizes firms to incorporate debt into their financial mix to lower their overall tax liability and increase the cash flow available to investors. However, as the debt-to-equity ratio rises, the risk of default increases, leading lenders to demand higher interest rates and equity investors to require higher returns to compensate for the added financial risk. Therefore, the core pillar of cost management involves identifying the "inflection point" where the marginal benefit of the tax shield is exactly offset by the marginal cost of potential financial distress.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Asset Composition and Business Risk Profile:</w:t>
      </w:r>
      <w:r>
        <w:rPr>
          <w:rFonts w:ascii="Arial" w:hAnsi="Arial"/>
          <w:color w:val="1E1E1E"/>
          <w:sz w:val="21"/>
        </w:rPr>
        <w:t xml:space="preserve"> The nature of a firm’s underlying assets and its inherent business risk significantly dictate its capacity for leverage. Organizations characterized by stable, predictable cash flows and high levels of tangible, liquid assets—such as utilities or real estate investment trusts—can safely carry higher debt loads because their assets serve as reliable collateral. Conversely, firms in high-growth, volatile sectors like biotechnology or software development often rely more heavily on equity. This is because their primary assets are intangible (intellectual property and human capital), which cannot be easily liquidated to satisfy creditors in the event of a default. This pillar emphasizes that capital structure must be "asset-matched," ensuring that the duration and risk of the financing sources align with the lifecycle and volatility of the firm’s revenue-generating activities.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Financial Flexibility and Strategic Control:</w:t>
      </w:r>
      <w:r>
        <w:rPr>
          <w:rFonts w:ascii="Arial" w:hAnsi="Arial"/>
          <w:color w:val="1E1E1E"/>
          <w:sz w:val="21"/>
        </w:rPr>
        <w:t xml:space="preserve"> Beyond the mathematical optimization of costs, capital structure is determined by the need for "dry powder" and the preservation of managerial autonomy. Maintaining a conservative debt level provides a firm with financial flexibility, allowing it to respond rapidly to unexpected market opportunities or economic shocks without the need to issue undervalued equity. Additionally, the choice between debt and equity has profound implications for corporate governance; issuing new equity can dilute the ownership stakes and voting power of existing shareholders, potentially exposing the firm to hostile takeovers or shifts in strategic direction. Consequently, many leaders prioritize a capital structure that retains enough borrowing capacity to fund future initiatives while ensuring that control remains concentrated among long-term stakeholders.</w:t>
      </w:r>
    </w:p>
    <w:p>
      <w:pPr>
        <w:keepNext/>
        <w:spacing w:before="220" w:after="100" w:line="276" w:lineRule="auto"/>
        <w:ind w:left="0" w:right="0" w:firstLine="0"/>
        <w:jc w:val="left"/>
      </w:pPr>
      <w:r>
        <w:rPr>
          <w:rFonts w:ascii="Arial" w:hAnsi="Arial"/>
          <w:b/>
          <w:color w:val="111827"/>
          <w:sz w:val="25"/>
        </w:rPr>
        <w:t>Importance of Capital Structure in Contemporary Business</w:t>
      </w:r>
    </w:p>
    <w:p>
      <w:pPr>
        <w:spacing w:before="40" w:after="120" w:line="276" w:lineRule="auto"/>
        <w:ind w:left="0" w:right="0" w:firstLine="0"/>
        <w:jc w:val="left"/>
      </w:pPr>
      <w:r>
        <w:rPr>
          <w:rFonts w:ascii="Arial" w:hAnsi="Arial"/>
          <w:color w:val="1E1E1E"/>
          <w:sz w:val="21"/>
        </w:rPr>
        <w:t>The strategic configuration of a firm's balance sheet is a critical determinant of its long-term viability and competitive positioning: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Enhancing Shareholder Value Through Leverage:</w:t>
      </w:r>
      <w:r>
        <w:rPr>
          <w:rFonts w:ascii="Arial" w:hAnsi="Arial"/>
          <w:color w:val="1E1E1E"/>
          <w:sz w:val="21"/>
        </w:rPr>
        <w:t xml:space="preserve"> By utilizing debt to finance high-return projects, companies can amplify their Return on Equity (ROE), as seen in the aggressive expansion strategies of telecommunications giants like AT&amp;T, which use leverage to fund massive infrastructure builds.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Signaling Corporate Health to Capital Markets:</w:t>
      </w:r>
      <w:r>
        <w:rPr>
          <w:rFonts w:ascii="Arial" w:hAnsi="Arial"/>
          <w:color w:val="1E1E1E"/>
          <w:sz w:val="21"/>
        </w:rPr>
        <w:t xml:space="preserve"> The choice of financing often serves as a signal to the market; for instance, when a company like Apple issues debt despite having massive cash reserves, it signals confidence in its ability to generate future cash flows while taking advantage of low-interest-rate environments.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Mitigating Agency Conflicts and Managerial Slack:</w:t>
      </w:r>
      <w:r>
        <w:rPr>
          <w:rFonts w:ascii="Arial" w:hAnsi="Arial"/>
          <w:color w:val="1E1E1E"/>
          <w:sz w:val="21"/>
        </w:rPr>
        <w:t xml:space="preserve"> High levels of debt can act as a disciplinary mechanism for management, as the obligation to meet regular interest payments reduces "free cash flow," preventing executives from wasting resources on value-destroying projects, a tactic frequently employed in Private Equity buyouts.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Ensuring Resilience During Macroeconomic Volatility:</w:t>
      </w:r>
      <w:r>
        <w:rPr>
          <w:rFonts w:ascii="Arial" w:hAnsi="Arial"/>
          <w:color w:val="1E1E1E"/>
          <w:sz w:val="21"/>
        </w:rPr>
        <w:t xml:space="preserve"> A robust capital structure allows firms to survive "black swan" events, such as the COVID-19 pandemic, where companies with low leverage and high liquidity, like Amazon, were able to gain market share while over-leveraged competitors faced restructuring.</w:t>
      </w:r>
    </w:p>
    <w:p>
      <w:pPr>
        <w:keepNext/>
        <w:spacing w:before="220" w:after="100" w:line="276" w:lineRule="auto"/>
        <w:ind w:left="0" w:right="0" w:firstLine="0"/>
        <w:jc w:val="left"/>
      </w:pPr>
      <w:r>
        <w:rPr>
          <w:rFonts w:ascii="Arial" w:hAnsi="Arial"/>
          <w:b/>
          <w:color w:val="111827"/>
          <w:sz w:val="25"/>
        </w:rPr>
        <w:t>Comparative Analysis: Capital Structure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Capital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Working Capital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Dividend Policy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CAPM Framework</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funding mix of debt and equity.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liquidity and operational efficiency.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Distribution of profits to shareholders.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Pricing of risk and expected returns.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Minimize WACC and maximize firm value.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Ensure sufficient cash for daily operations.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Balance reinvestment with investor income.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Determine the required return on equity.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(5 to 30 years).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(less than 1 year).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Medium-term (annual or quarterly).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Instantaneous market-based valuation.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Financial distress and bankruptcy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Liquidity risk and technical insolvency.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Signaling risk and investor dissatisfaction.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Systematic market risk (Beta).</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Capital Structure Within Organizations</w:t>
      </w:r>
    </w:p>
    <w:p>
      <w:pPr>
        <w:spacing w:before="40" w:after="120" w:line="276" w:lineRule="auto"/>
        <w:ind w:left="0" w:right="0" w:firstLine="0"/>
        <w:jc w:val="left"/>
      </w:pPr>
      <w:r>
        <w:rPr>
          <w:rFonts w:ascii="Arial" w:hAnsi="Arial"/>
          <w:color w:val="1E1E1E"/>
          <w:sz w:val="21"/>
        </w:rPr>
        <w:t>Effective leadership requires the proactive management of the balance sheet to ensure that the firm's financial structure supports its broader strategic objectives:</w:t>
      </w:r>
    </w:p>
    <w:p>
      <w:pPr>
        <w:keepNext/>
        <w:spacing w:before="180" w:after="60" w:line="276" w:lineRule="auto"/>
        <w:ind w:left="0" w:right="0" w:firstLine="0"/>
        <w:jc w:val="left"/>
      </w:pPr>
      <w:r>
        <w:rPr>
          <w:rFonts w:ascii="Arial" w:hAnsi="Arial"/>
          <w:b/>
          <w:color w:val="111827"/>
          <w:sz w:val="22"/>
        </w:rPr>
        <w:t>1. Establishing and Monitoring Target Leverage Ratios</w:t>
      </w:r>
    </w:p>
    <w:p>
      <w:pPr>
        <w:spacing w:before="40" w:after="120" w:line="276" w:lineRule="auto"/>
        <w:ind w:left="0" w:right="0" w:firstLine="0"/>
        <w:jc w:val="left"/>
      </w:pPr>
      <w:r>
        <w:rPr>
          <w:rFonts w:ascii="Arial" w:hAnsi="Arial"/>
          <w:color w:val="1E1E1E"/>
          <w:sz w:val="21"/>
        </w:rPr>
        <w:t>Leaders must define a "target" debt-to-equity range that reflects the firm's risk appetite and industry norms.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Benchmarking:</w:t>
      </w:r>
      <w:r>
        <w:rPr>
          <w:rFonts w:ascii="Arial" w:hAnsi="Arial"/>
          <w:color w:val="1E1E1E"/>
          <w:sz w:val="21"/>
        </w:rPr>
        <w:t xml:space="preserve"> Regularly comparing leverage ratios against peer groups to ensure the firm remains attractive to credit rating agencies.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Metric Integration:</w:t>
      </w:r>
      <w:r>
        <w:rPr>
          <w:rFonts w:ascii="Arial" w:hAnsi="Arial"/>
          <w:color w:val="1E1E1E"/>
          <w:sz w:val="21"/>
        </w:rPr>
        <w:t xml:space="preserve"> Utilizing Debt/EBITDA and Interest Coverage ratios as Key Performance Indicators (KPIs) for the finance department.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Stress Testing:</w:t>
      </w:r>
      <w:r>
        <w:rPr>
          <w:rFonts w:ascii="Arial" w:hAnsi="Arial"/>
          <w:color w:val="1E1E1E"/>
          <w:sz w:val="21"/>
        </w:rPr>
        <w:t xml:space="preserve"> Conducting "what-if" simulations to determine how the target ratio would hold up under various recessionary scenarios.</w:t>
      </w:r>
    </w:p>
    <w:p>
      <w:pPr>
        <w:keepNext/>
        <w:spacing w:before="180" w:after="60" w:line="276" w:lineRule="auto"/>
        <w:ind w:left="0" w:right="0" w:firstLine="0"/>
        <w:jc w:val="left"/>
      </w:pPr>
      <w:r>
        <w:rPr>
          <w:rFonts w:ascii="Arial" w:hAnsi="Arial"/>
          <w:b/>
          <w:color w:val="111827"/>
          <w:sz w:val="22"/>
        </w:rPr>
        <w:t>2. Strategic Market Timing for Capital Issuance</w:t>
      </w:r>
    </w:p>
    <w:p>
      <w:pPr>
        <w:spacing w:before="40" w:after="120" w:line="276" w:lineRule="auto"/>
        <w:ind w:left="0" w:right="0" w:firstLine="0"/>
        <w:jc w:val="left"/>
      </w:pPr>
      <w:r>
        <w:rPr>
          <w:rFonts w:ascii="Arial" w:hAnsi="Arial"/>
          <w:color w:val="1E1E1E"/>
          <w:sz w:val="21"/>
        </w:rPr>
        <w:t>The cost of capital is highly sensitive to market fluctuations, requiring leaders to be opportunistic in their financing activities.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Interest Rate Monitoring:</w:t>
      </w:r>
      <w:r>
        <w:rPr>
          <w:rFonts w:ascii="Arial" w:hAnsi="Arial"/>
          <w:color w:val="1E1E1E"/>
          <w:sz w:val="21"/>
        </w:rPr>
        <w:t xml:space="preserve"> Issuing long-term fixed-rate debt when interest rates are historically low to lock in cheap financing for decades.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 Valuation Awareness:</w:t>
      </w:r>
      <w:r>
        <w:rPr>
          <w:rFonts w:ascii="Arial" w:hAnsi="Arial"/>
          <w:color w:val="1E1E1E"/>
          <w:sz w:val="21"/>
        </w:rPr>
        <w:t xml:space="preserve"> Avoiding the issuance of new shares when the stock price is undervalued to prevent unnecessary dilution of shareholder value.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Credit Spread Analysis:</w:t>
      </w:r>
      <w:r>
        <w:rPr>
          <w:rFonts w:ascii="Arial" w:hAnsi="Arial"/>
          <w:color w:val="1E1E1E"/>
          <w:sz w:val="21"/>
        </w:rPr>
        <w:t xml:space="preserve"> Monitoring the gap between corporate bond yields and government treasuries to time the entry into debt markets.</w:t>
      </w:r>
    </w:p>
    <w:p>
      <w:pPr>
        <w:keepNext/>
        <w:spacing w:before="180" w:after="60" w:line="276" w:lineRule="auto"/>
        <w:ind w:left="0" w:right="0" w:firstLine="0"/>
        <w:jc w:val="left"/>
      </w:pPr>
      <w:r>
        <w:rPr>
          <w:rFonts w:ascii="Arial" w:hAnsi="Arial"/>
          <w:b/>
          <w:color w:val="111827"/>
          <w:sz w:val="22"/>
        </w:rPr>
        <w:t>3. Proactive Management of Debt Covenants</w:t>
      </w:r>
    </w:p>
    <w:p>
      <w:pPr>
        <w:spacing w:before="40" w:after="120" w:line="276" w:lineRule="auto"/>
        <w:ind w:left="0" w:right="0" w:firstLine="0"/>
        <w:jc w:val="left"/>
      </w:pPr>
      <w:r>
        <w:rPr>
          <w:rFonts w:ascii="Arial" w:hAnsi="Arial"/>
          <w:color w:val="1E1E1E"/>
          <w:sz w:val="21"/>
        </w:rPr>
        <w:t>Debt agreements often come with restrictive covenants that can limit a leader's operational freedom.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Negotiation:</w:t>
      </w:r>
      <w:r>
        <w:rPr>
          <w:rFonts w:ascii="Arial" w:hAnsi="Arial"/>
          <w:color w:val="1E1E1E"/>
          <w:sz w:val="21"/>
        </w:rPr>
        <w:t xml:space="preserve"> Working with lenders to ensure that covenants are flexible enough to allow for necessary R&amp;D or capital investment.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Compliance Oversight:</w:t>
      </w:r>
      <w:r>
        <w:rPr>
          <w:rFonts w:ascii="Arial" w:hAnsi="Arial"/>
          <w:color w:val="1E1E1E"/>
          <w:sz w:val="21"/>
        </w:rPr>
        <w:t xml:space="preserve"> Implementing rigorous internal controls to ensure the firm never inadvertently breaches a financial ratio, which could trigger immediate repayment.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Relationship Management:</w:t>
      </w:r>
      <w:r>
        <w:rPr>
          <w:rFonts w:ascii="Arial" w:hAnsi="Arial"/>
          <w:color w:val="1E1E1E"/>
          <w:sz w:val="21"/>
        </w:rPr>
        <w:t xml:space="preserve"> Maintaining transparent communication with creditors to facilitate easier renegotiations if business conditions change.</w:t>
      </w:r>
    </w:p>
    <w:p>
      <w:pPr>
        <w:keepNext/>
        <w:spacing w:before="180" w:after="60" w:line="276" w:lineRule="auto"/>
        <w:ind w:left="0" w:right="0" w:firstLine="0"/>
        <w:jc w:val="left"/>
      </w:pPr>
      <w:r>
        <w:rPr>
          <w:rFonts w:ascii="Arial" w:hAnsi="Arial"/>
          <w:b/>
          <w:color w:val="111827"/>
          <w:sz w:val="22"/>
        </w:rPr>
        <w:t>4. Balancing Agency Costs and Stakeholder Interests</w:t>
      </w:r>
    </w:p>
    <w:p>
      <w:pPr>
        <w:spacing w:before="40" w:after="120" w:line="276" w:lineRule="auto"/>
        <w:ind w:left="0" w:right="0" w:firstLine="0"/>
        <w:jc w:val="left"/>
      </w:pPr>
      <w:r>
        <w:rPr>
          <w:rFonts w:ascii="Arial" w:hAnsi="Arial"/>
          <w:color w:val="1E1E1E"/>
          <w:sz w:val="21"/>
        </w:rPr>
        <w:t>Leaders must navigate the conflicting demands of debt holders, who prefer safety, and equity holders, who often seek growth.</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Incentive Alignment:</w:t>
      </w:r>
      <w:r>
        <w:rPr>
          <w:rFonts w:ascii="Arial" w:hAnsi="Arial"/>
          <w:color w:val="1E1E1E"/>
          <w:sz w:val="21"/>
        </w:rPr>
        <w:t xml:space="preserve"> Structuring executive compensation to reward long-term value creation rather than short-term earnings per share (EPS) manipulation via excessive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Transparency:</w:t>
      </w:r>
      <w:r>
        <w:rPr>
          <w:rFonts w:ascii="Arial" w:hAnsi="Arial"/>
          <w:color w:val="1E1E1E"/>
          <w:sz w:val="21"/>
        </w:rPr>
        <w:t xml:space="preserve"> Providing clear disclosures regarding the rationale behind major changes in capital structure to maintain investor trust.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Conflict Resolution:</w:t>
      </w:r>
      <w:r>
        <w:rPr>
          <w:rFonts w:ascii="Arial" w:hAnsi="Arial"/>
          <w:color w:val="1E1E1E"/>
          <w:sz w:val="21"/>
        </w:rPr>
        <w:t xml:space="preserve"> Balancing the "tax shield" benefits of debt with the need to maintain a "safety cushion" for employees and suppliers.</w:t>
      </w:r>
    </w:p>
    <w:p>
      <w:pPr>
        <w:keepNext/>
        <w:spacing w:before="180" w:after="60" w:line="276" w:lineRule="auto"/>
        <w:ind w:left="0" w:right="0" w:firstLine="0"/>
        <w:jc w:val="left"/>
      </w:pPr>
      <w:r>
        <w:rPr>
          <w:rFonts w:ascii="Arial" w:hAnsi="Arial"/>
          <w:b/>
          <w:color w:val="111827"/>
          <w:sz w:val="22"/>
        </w:rPr>
        <w:t>5. Implementing Dynamic Capital Rebalancing</w:t>
      </w:r>
    </w:p>
    <w:p>
      <w:pPr>
        <w:spacing w:before="40" w:after="120" w:line="276" w:lineRule="auto"/>
        <w:ind w:left="0" w:right="0" w:firstLine="0"/>
        <w:jc w:val="left"/>
      </w:pPr>
      <w:r>
        <w:rPr>
          <w:rFonts w:ascii="Arial" w:hAnsi="Arial"/>
          <w:color w:val="1E1E1E"/>
          <w:sz w:val="21"/>
        </w:rPr>
        <w:t>A firm's capital structure is rarely static and must be adjusted as the company moves through its lifecycle.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 Buybacks:</w:t>
      </w:r>
      <w:r>
        <w:rPr>
          <w:rFonts w:ascii="Arial" w:hAnsi="Arial"/>
          <w:color w:val="1E1E1E"/>
          <w:sz w:val="21"/>
        </w:rPr>
        <w:t xml:space="preserve"> Utilizing excess cash to repurchase shares when the firm is over-capitalized and lacks high-return investment opportunities.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Retirement:</w:t>
      </w:r>
      <w:r>
        <w:rPr>
          <w:rFonts w:ascii="Arial" w:hAnsi="Arial"/>
          <w:color w:val="1E1E1E"/>
          <w:sz w:val="21"/>
        </w:rPr>
        <w:t xml:space="preserve"> Using periods of high profitability to pay down expensive debt, thereby improving the firm's credit profile for future borrowing.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Hybrid Financing:</w:t>
      </w:r>
      <w:r>
        <w:rPr>
          <w:rFonts w:ascii="Arial" w:hAnsi="Arial"/>
          <w:color w:val="1E1E1E"/>
          <w:sz w:val="21"/>
        </w:rPr>
        <w:t xml:space="preserve"> Employing convertible bonds or preferred stock to bridge the gap between debt and equity during transitional growth phases.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determination of capital structure is a sophisticated strategic exercise that transcends simple accounting ratios to touch upon the very core of corporate sustainability. By balancing the cost-saving benefits of debt with the safety and flexibility of equity, organizations can create a resilient financial foundation capable of supporting long-term innovation and market expansion. Ultimately, the successful management of this mix requires a deep synthesis of market timing, risk assessment, and an unwavering focus on minimizing the weighted average cost of capital.</w:t>
      </w:r>
    </w:p>
    <w:p>
      <w:pPr>
        <w:spacing w:before="40" w:after="120" w:line="276" w:lineRule="auto"/>
        <w:ind w:left="0" w:right="0" w:firstLine="0"/>
        <w:jc w:val="left"/>
      </w:pPr>
      <w:r>
        <w:rPr>
          <w:rFonts w:ascii="Arial" w:hAnsi="Arial"/>
          <w:color w:val="1E1E1E"/>
          <w:sz w:val="21"/>
        </w:rPr>
        <w:t>In the modern economic landscape, where volatility is the only constant, the ability to dynamically adjust capital structure serves as a significant competitive advantage. Leaders who master the intricacies of leverage, tax shields, and financial signaling are better positioned to protect shareholder interests while navigating the complexities of global finance. As firms continue to evolve, the principles of capital structure will remain the definitive metric for evaluating managerial competence and organizational health.</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