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10</w:t>
      </w:r>
    </w:p>
    <w:p>
      <w:pPr>
        <w:spacing w:before="0" w:after="240" w:line="288" w:lineRule="auto"/>
        <w:ind w:left="0" w:right="0" w:firstLine="0"/>
        <w:jc w:val="left"/>
        <w:pBdr>
          <w:bottom w:val="single" w:sz="6" w:space="6" w:color="D0D5DD"/>
        </w:pBdr>
      </w:pPr>
      <w:r>
        <w:rPr>
          <w:rFonts w:ascii="Arial" w:hAnsi="Arial"/>
          <w:b/>
          <w:color w:val="111827"/>
          <w:sz w:val="23"/>
        </w:rPr>
        <w:t>Explain the principles of effective compensation management.</w:t>
      </w:r>
    </w:p>
    <w:p>
      <w:pPr>
        <w:spacing w:before="40" w:after="120" w:line="276" w:lineRule="auto"/>
        <w:ind w:left="0" w:right="0" w:firstLine="0"/>
        <w:jc w:val="left"/>
      </w:pPr>
      <w:r>
        <w:rPr>
          <w:rFonts w:ascii="Arial" w:hAnsi="Arial"/>
          <w:color w:val="1E1E1E"/>
          <w:sz w:val="21"/>
        </w:rPr>
        <w:t>Compensation management represents the systematic approach to providing monetary value to employees in exchange for work performed, serving both as a legal obligation and a strategic tool for organizational survival. According to Martocchio (2020), compensation management is the design and implementation of reward systems that align employee efforts with the strategic goals of the firm while ensuring internal equity and external competitiveness. This discipline transcends mere payroll processing; it involves a sophisticated synthesis of financial planning, psychological motivation, and legal compliance. By integrating base pay, incentives, and benefits into a cohesive framework, organizations can signal their values and priorities to the workforce, effectively using capital to drive specific behavioral outcomes and cultural norms.</w:t>
      </w:r>
    </w:p>
    <w:p>
      <w:pPr>
        <w:spacing w:before="40" w:after="120" w:line="276" w:lineRule="auto"/>
        <w:ind w:left="0" w:right="0" w:firstLine="0"/>
        <w:jc w:val="left"/>
      </w:pPr>
      <w:r>
        <w:rPr>
          <w:rFonts w:ascii="Arial" w:hAnsi="Arial"/>
          <w:color w:val="1E1E1E"/>
          <w:sz w:val="21"/>
        </w:rPr>
        <w:t>In operational practice, compensation management functions as a dynamic balancing act between the organization's financial constraints and the labor market's demands. It requires human resource professionals to conduct rigorous job analyses to determine the relative worth of positions, followed by extensive market benchmarking to ensure salary ranges remain attractive to top-tier talent. This process is not static but requires continuous adjustment based on economic shifts, industry trends, and the evolving needs of a multi-generational workforce. When executed effectively, compensation management creates a transparent "psychological contract" between the employer and the employee, fostering a sense of fairness and security that is fundamental to long-term organizational stability.</w:t>
      </w:r>
    </w:p>
    <w:p>
      <w:pPr>
        <w:keepNext/>
        <w:spacing w:before="220" w:after="100" w:line="276" w:lineRule="auto"/>
        <w:ind w:left="0" w:right="0" w:firstLine="0"/>
        <w:jc w:val="left"/>
      </w:pPr>
      <w:r>
        <w:rPr>
          <w:rFonts w:ascii="Arial" w:hAnsi="Arial"/>
          <w:b/>
          <w:color w:val="111827"/>
          <w:sz w:val="25"/>
        </w:rPr>
        <w:t>Core Pillars of Compensation Management</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Internal Equity and Job Evaluation:</w:t>
      </w:r>
      <w:r>
        <w:rPr>
          <w:rFonts w:ascii="Arial" w:hAnsi="Arial"/>
          <w:color w:val="1E1E1E"/>
          <w:sz w:val="21"/>
        </w:rPr>
        <w:t xml:space="preserve"> This pillar focuses on the perceived fairness of pay structures within the organization, ensuring that employees receive compensation that is commensurate with the complexity, responsibility, and required skill set of their specific roles. Organizations achieve this through formal job evaluation methods, such as the point-factor system or job ranking, which establish a hierarchical value for every position. By maintaining a logical relationship between different job grades, leadership can prevent perceptions of favoritism and reduce workplace friction, ensuring that individuals performing similar work or work of equal value to the firm are compensated at comparable levels.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External Competitiveness and Market Alignment:</w:t>
      </w:r>
      <w:r>
        <w:rPr>
          <w:rFonts w:ascii="Arial" w:hAnsi="Arial"/>
          <w:color w:val="1E1E1E"/>
          <w:sz w:val="21"/>
        </w:rPr>
        <w:t xml:space="preserve"> To attract and retain high-performing individuals, an organization must ensure its compensation packages are competitive relative to the broader labor market. This involves the strategic use of salary surveys and economic data to determine whether the firm should "lead" the market by paying above-average wages, "match" the market to maintain cost parity, or "lag" the market while offering other non-monetary advantages. Effective external alignment prevents talent poaching by competitors and ensures that the organization remains a "destination employer" within its specific industry or geographic region.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Performance Linkage and Individual Equity:</w:t>
      </w:r>
      <w:r>
        <w:rPr>
          <w:rFonts w:ascii="Arial" w:hAnsi="Arial"/>
          <w:color w:val="1E1E1E"/>
          <w:sz w:val="21"/>
        </w:rPr>
        <w:t xml:space="preserve"> This dimension addresses the differentiation of pay based on individual performance, experience, and contribution rather than just the job title. By implementing merit-based pay increases, bonuses, and commissions, organizations create a direct correlation between an employee’s output and their financial reward. This principle is vital for motivating high achievers and signaling that the organization values results over mere tenure. When individual equity is managed correctly, it serves as a powerful reinforcement mechanism for desired organizational behaviors and helps in identifying and rewarding the firm’s most critical human capital assets.</w:t>
      </w:r>
    </w:p>
    <w:p>
      <w:pPr>
        <w:keepNext/>
        <w:spacing w:before="220" w:after="100" w:line="276" w:lineRule="auto"/>
        <w:ind w:left="0" w:right="0" w:firstLine="0"/>
        <w:jc w:val="left"/>
      </w:pPr>
      <w:r>
        <w:rPr>
          <w:rFonts w:ascii="Arial" w:hAnsi="Arial"/>
          <w:b/>
          <w:color w:val="111827"/>
          <w:sz w:val="25"/>
        </w:rPr>
        <w:t>Importance of Compensation Management in Contemporary Business</w:t>
      </w:r>
    </w:p>
    <w:p>
      <w:pPr>
        <w:spacing w:before="40" w:after="120" w:line="276" w:lineRule="auto"/>
        <w:ind w:left="0" w:right="0" w:firstLine="0"/>
        <w:jc w:val="left"/>
      </w:pPr>
      <w:r>
        <w:rPr>
          <w:rFonts w:ascii="Arial" w:hAnsi="Arial"/>
          <w:color w:val="1E1E1E"/>
          <w:sz w:val="21"/>
        </w:rPr>
        <w:t>Effective compensation structures serve as the primary mechanism for aligning individual motivations with organizational objectives: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Talent Acquisition and Retention:</w:t>
      </w:r>
      <w:r>
        <w:rPr>
          <w:rFonts w:ascii="Arial" w:hAnsi="Arial"/>
          <w:color w:val="1E1E1E"/>
          <w:sz w:val="21"/>
        </w:rPr>
        <w:t xml:space="preserve"> In highly competitive sectors like technology or biotechnology, specialized compensation packages—including sign-on bonuses and restricted stock units (RSUs)—are essential for securing niche talent. For example, Netflix utilizes a "top of market" pay philosophy, offering high base salaries rather than complex bonus structures to attract self-motivated high-performers who value immediate liquidity.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Organizational Culture and Morale:</w:t>
      </w:r>
      <w:r>
        <w:rPr>
          <w:rFonts w:ascii="Arial" w:hAnsi="Arial"/>
          <w:color w:val="1E1E1E"/>
          <w:sz w:val="21"/>
        </w:rPr>
        <w:t xml:space="preserve"> Transparent and fair compensation systems build trust and reduce the psychological stress associated with financial insecurity. Companies like Buffer have gained significant brand equity and employee loyalty by adopting "open pay" policies, where every employee's salary is public, thereby eliminating the suspicion of wage gaps and promoting a culture of radical honesty.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Regulatory Compliance and Risk Mitigation:</w:t>
      </w:r>
      <w:r>
        <w:rPr>
          <w:rFonts w:ascii="Arial" w:hAnsi="Arial"/>
          <w:color w:val="1E1E1E"/>
          <w:sz w:val="21"/>
        </w:rPr>
        <w:t xml:space="preserve"> Modern organizations face increasing pressure to address pay disparities related to gender, race, and ethnicity. Salesforce famously spent millions of dollars to close unexplained pay gaps discovered during internal audits, demonstrating how proactive compensation management can protect a firm from litigation and reputational damage while upholding social responsibility.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Cost Management:</w:t>
      </w:r>
      <w:r>
        <w:rPr>
          <w:rFonts w:ascii="Arial" w:hAnsi="Arial"/>
          <w:color w:val="1E1E1E"/>
          <w:sz w:val="21"/>
        </w:rPr>
        <w:t xml:space="preserve"> Compensation often represents the largest operating expense for service-based organizations, necessitating a balance between labor costs and profitability. Firms like Toyota utilize lean compensation strategies that emphasize team-based bonuses linked to efficiency gains, ensuring that labor costs fluctuate in tandem with organizational productivity and market success.</w:t>
      </w:r>
    </w:p>
    <w:p>
      <w:pPr>
        <w:keepNext/>
        <w:spacing w:before="220" w:after="100" w:line="276" w:lineRule="auto"/>
        <w:ind w:left="0" w:right="0" w:firstLine="0"/>
        <w:jc w:val="left"/>
      </w:pPr>
      <w:r>
        <w:rPr>
          <w:rFonts w:ascii="Arial" w:hAnsi="Arial"/>
          <w:b/>
          <w:color w:val="111827"/>
          <w:sz w:val="25"/>
        </w:rPr>
        <w:t>Comparative Analysis: Compensation Management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Strategic Compensation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Traditional Pay Scale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Total Rewards Model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Gig Economy Model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Core Objective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Strategic goal alignment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Internal hierarchy/tenure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Holistic employee value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Transactional efficiency</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Reward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Base pay plus incentives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Fixed increments/steps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Pay, benefits, and growth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Per-task/Project fees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Flexibility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(Market-responsive)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(Rigid structures)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(Personalized)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Extreme (Demand-driven)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Employee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Performance and results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Loyalty and longevity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Wellbeing and lifestyle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Autonomy and output</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Compensation Management Within Organizations</w:t>
      </w:r>
    </w:p>
    <w:p>
      <w:pPr>
        <w:spacing w:before="40" w:after="120" w:line="276" w:lineRule="auto"/>
        <w:ind w:left="0" w:right="0" w:firstLine="0"/>
        <w:jc w:val="left"/>
      </w:pPr>
      <w:r>
        <w:rPr>
          <w:rFonts w:ascii="Arial" w:hAnsi="Arial"/>
          <w:color w:val="1E1E1E"/>
          <w:sz w:val="21"/>
        </w:rPr>
        <w:t>To transform compensation from a static expense into a strategic asset, leadership must adopt a multi-faceted approach:</w:t>
      </w:r>
    </w:p>
    <w:p>
      <w:pPr>
        <w:keepNext/>
        <w:spacing w:before="180" w:after="60" w:line="276" w:lineRule="auto"/>
        <w:ind w:left="0" w:right="0" w:firstLine="0"/>
        <w:jc w:val="left"/>
      </w:pPr>
      <w:r>
        <w:rPr>
          <w:rFonts w:ascii="Arial" w:hAnsi="Arial"/>
          <w:b/>
          <w:color w:val="111827"/>
          <w:sz w:val="22"/>
        </w:rPr>
        <w:t>1. Designing Data-Driven Salary Structures</w:t>
      </w:r>
    </w:p>
    <w:p>
      <w:pPr>
        <w:spacing w:before="40" w:after="120" w:line="276" w:lineRule="auto"/>
        <w:ind w:left="0" w:right="0" w:firstLine="0"/>
        <w:jc w:val="left"/>
      </w:pPr>
      <w:r>
        <w:rPr>
          <w:rFonts w:ascii="Arial" w:hAnsi="Arial"/>
          <w:color w:val="1E1E1E"/>
          <w:sz w:val="21"/>
        </w:rPr>
        <w:t>Leaders must move beyond anecdotal evidence and utilize robust analytics to define their pay architecture. This ensures that every dollar spent on payroll is justified by market data and internal value metrics.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 Benchmarking:</w:t>
      </w:r>
      <w:r>
        <w:rPr>
          <w:rFonts w:ascii="Arial" w:hAnsi="Arial"/>
          <w:color w:val="1E1E1E"/>
          <w:sz w:val="21"/>
        </w:rPr>
        <w:t xml:space="preserve"> Regularly participating in industry-specific salary surveys to stay abreast of shifting wage floors.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Range Penetration Analysis:</w:t>
      </w:r>
      <w:r>
        <w:rPr>
          <w:rFonts w:ascii="Arial" w:hAnsi="Arial"/>
          <w:color w:val="1E1E1E"/>
          <w:sz w:val="21"/>
        </w:rPr>
        <w:t xml:space="preserve"> Monitoring where employees sit within their pay grades to identify potential flight risks or over-compensated individuals.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Geographic Differentials:</w:t>
      </w:r>
      <w:r>
        <w:rPr>
          <w:rFonts w:ascii="Arial" w:hAnsi="Arial"/>
          <w:color w:val="1E1E1E"/>
          <w:sz w:val="21"/>
        </w:rPr>
        <w:t xml:space="preserve"> Adjusting compensation for remote workforces based on local cost-of-living indices to maintain regional fairness.</w:t>
      </w:r>
    </w:p>
    <w:p>
      <w:pPr>
        <w:keepNext/>
        <w:spacing w:before="180" w:after="60" w:line="276" w:lineRule="auto"/>
        <w:ind w:left="0" w:right="0" w:firstLine="0"/>
        <w:jc w:val="left"/>
      </w:pPr>
      <w:r>
        <w:rPr>
          <w:rFonts w:ascii="Arial" w:hAnsi="Arial"/>
          <w:b/>
          <w:color w:val="111827"/>
          <w:sz w:val="22"/>
        </w:rPr>
        <w:t>2. Integrating Variable Pay and Incentives</w:t>
      </w:r>
    </w:p>
    <w:p>
      <w:pPr>
        <w:spacing w:before="40" w:after="120" w:line="276" w:lineRule="auto"/>
        <w:ind w:left="0" w:right="0" w:firstLine="0"/>
        <w:jc w:val="left"/>
      </w:pPr>
      <w:r>
        <w:rPr>
          <w:rFonts w:ascii="Arial" w:hAnsi="Arial"/>
          <w:color w:val="1E1E1E"/>
          <w:sz w:val="21"/>
        </w:rPr>
        <w:t>Static salaries often fail to drive extraordinary effort; therefore, leaders should implement variable components that reward specific milestones. This aligns the financial interests of the employee with the fiscal health of the company.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Performance Linkage:</w:t>
      </w:r>
      <w:r>
        <w:rPr>
          <w:rFonts w:ascii="Arial" w:hAnsi="Arial"/>
          <w:color w:val="1E1E1E"/>
          <w:sz w:val="21"/>
        </w:rPr>
        <w:t xml:space="preserve"> Establishing clear Key Performance Indicators (KPIs) that trigger quarterly or annual bonuses.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Profit-Sharing Schemes:</w:t>
      </w:r>
      <w:r>
        <w:rPr>
          <w:rFonts w:ascii="Arial" w:hAnsi="Arial"/>
          <w:color w:val="1E1E1E"/>
          <w:sz w:val="21"/>
        </w:rPr>
        <w:t xml:space="preserve"> Distributing a portion of corporate earnings to employees to foster an "ownership mindset" across the workforce.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Recognition Programs:</w:t>
      </w:r>
      <w:r>
        <w:rPr>
          <w:rFonts w:ascii="Arial" w:hAnsi="Arial"/>
          <w:color w:val="1E1E1E"/>
          <w:sz w:val="21"/>
        </w:rPr>
        <w:t xml:space="preserve"> Utilizing spot bonuses or non-cash rewards to provide immediate gratification for exceptional project-based work.</w:t>
      </w:r>
    </w:p>
    <w:p>
      <w:pPr>
        <w:keepNext/>
        <w:spacing w:before="180" w:after="60" w:line="276" w:lineRule="auto"/>
        <w:ind w:left="0" w:right="0" w:firstLine="0"/>
        <w:jc w:val="left"/>
      </w:pPr>
      <w:r>
        <w:rPr>
          <w:rFonts w:ascii="Arial" w:hAnsi="Arial"/>
          <w:b/>
          <w:color w:val="111827"/>
          <w:sz w:val="22"/>
        </w:rPr>
        <w:t>3. Cultivating Pay Transparency and Communication</w:t>
      </w:r>
    </w:p>
    <w:p>
      <w:pPr>
        <w:spacing w:before="40" w:after="120" w:line="276" w:lineRule="auto"/>
        <w:ind w:left="0" w:right="0" w:firstLine="0"/>
        <w:jc w:val="left"/>
      </w:pPr>
      <w:r>
        <w:rPr>
          <w:rFonts w:ascii="Arial" w:hAnsi="Arial"/>
          <w:color w:val="1E1E1E"/>
          <w:sz w:val="21"/>
        </w:rPr>
        <w:t>The effectiveness of a compensation plan is largely dependent on how well it is understood by the employees. Leaders must demystify the "how" and "why" behind pay decisions to prevent misinformation and resentment.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Policy Clarity:</w:t>
      </w:r>
      <w:r>
        <w:rPr>
          <w:rFonts w:ascii="Arial" w:hAnsi="Arial"/>
          <w:color w:val="1E1E1E"/>
          <w:sz w:val="21"/>
        </w:rPr>
        <w:t xml:space="preserve"> Providing employees with a clear handbook that explains the criteria for raises, promotions, and bonus eligibility.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Managerial Training:</w:t>
      </w:r>
      <w:r>
        <w:rPr>
          <w:rFonts w:ascii="Arial" w:hAnsi="Arial"/>
          <w:color w:val="1E1E1E"/>
          <w:sz w:val="21"/>
        </w:rPr>
        <w:t xml:space="preserve"> Equipping department heads with the communication skills necessary to conduct difficult conversations regarding pay adjustments.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Continuous Feedback Loops:</w:t>
      </w:r>
      <w:r>
        <w:rPr>
          <w:rFonts w:ascii="Arial" w:hAnsi="Arial"/>
          <w:color w:val="1E1E1E"/>
          <w:sz w:val="21"/>
        </w:rPr>
        <w:t xml:space="preserve"> Using annual engagement surveys to gauge employee satisfaction with their total compensation package.</w:t>
      </w:r>
    </w:p>
    <w:p>
      <w:pPr>
        <w:keepNext/>
        <w:spacing w:before="180" w:after="60" w:line="276" w:lineRule="auto"/>
        <w:ind w:left="0" w:right="0" w:firstLine="0"/>
        <w:jc w:val="left"/>
      </w:pPr>
      <w:r>
        <w:rPr>
          <w:rFonts w:ascii="Arial" w:hAnsi="Arial"/>
          <w:b/>
          <w:color w:val="111827"/>
          <w:sz w:val="22"/>
        </w:rPr>
        <w:t>4. Aligning Benefits with Workforce Demographics</w:t>
      </w:r>
    </w:p>
    <w:p>
      <w:pPr>
        <w:spacing w:before="40" w:after="120" w:line="276" w:lineRule="auto"/>
        <w:ind w:left="0" w:right="0" w:firstLine="0"/>
        <w:jc w:val="left"/>
      </w:pPr>
      <w:r>
        <w:rPr>
          <w:rFonts w:ascii="Arial" w:hAnsi="Arial"/>
          <w:color w:val="1E1E1E"/>
          <w:sz w:val="21"/>
        </w:rPr>
        <w:t>Compensation is not limited to cash; a modern strategy must include a benefits package that resonates with the specific needs of the current workforce. Leaders should tailor these offerings to support the "whole person" rather than just the "worker."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Flexible Benefits (Cafeteria Plans):</w:t>
      </w:r>
      <w:r>
        <w:rPr>
          <w:rFonts w:ascii="Arial" w:hAnsi="Arial"/>
          <w:color w:val="1E1E1E"/>
          <w:sz w:val="21"/>
        </w:rPr>
        <w:t xml:space="preserve"> Allowing employees to choose between various perks, such as childcare subsidies, tuition reimbursement, or extra vacation time.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Wellness Integration:</w:t>
      </w:r>
      <w:r>
        <w:rPr>
          <w:rFonts w:ascii="Arial" w:hAnsi="Arial"/>
          <w:color w:val="1E1E1E"/>
          <w:sz w:val="21"/>
        </w:rPr>
        <w:t xml:space="preserve"> Offering mental health support, gym memberships, and ergonomic home-office stipends to reduce burnout.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Retirement Planning:</w:t>
      </w:r>
      <w:r>
        <w:rPr>
          <w:rFonts w:ascii="Arial" w:hAnsi="Arial"/>
          <w:color w:val="1E1E1E"/>
          <w:sz w:val="21"/>
        </w:rPr>
        <w:t xml:space="preserve"> Providing robust 401(k) matching and financial literacy workshops to support long-term employee security.</w:t>
      </w:r>
    </w:p>
    <w:p>
      <w:pPr>
        <w:keepNext/>
        <w:spacing w:before="180" w:after="60" w:line="276" w:lineRule="auto"/>
        <w:ind w:left="0" w:right="0" w:firstLine="0"/>
        <w:jc w:val="left"/>
      </w:pPr>
      <w:r>
        <w:rPr>
          <w:rFonts w:ascii="Arial" w:hAnsi="Arial"/>
          <w:b/>
          <w:color w:val="111827"/>
          <w:sz w:val="22"/>
        </w:rPr>
        <w:t>5. Continuous Auditing and Compliance Monitoring</w:t>
      </w:r>
    </w:p>
    <w:p>
      <w:pPr>
        <w:spacing w:before="40" w:after="120" w:line="276" w:lineRule="auto"/>
        <w:ind w:left="0" w:right="0" w:firstLine="0"/>
        <w:jc w:val="left"/>
      </w:pPr>
      <w:r>
        <w:rPr>
          <w:rFonts w:ascii="Arial" w:hAnsi="Arial"/>
          <w:color w:val="1E1E1E"/>
          <w:sz w:val="21"/>
        </w:rPr>
        <w:t>In a shifting legal landscape, leaders must proactively audit their compensation practices to ensure they meet evolving standards of equity and transparency. This mitigates legal risk and reinforces the organization's ethical standing.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Pay Equity Audits:</w:t>
      </w:r>
      <w:r>
        <w:rPr>
          <w:rFonts w:ascii="Arial" w:hAnsi="Arial"/>
          <w:color w:val="1E1E1E"/>
          <w:sz w:val="21"/>
        </w:rPr>
        <w:t xml:space="preserve"> Conducting annual statistical analyses to identify and rectify any pay gaps based on protected characteristics.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Legal Adherence:</w:t>
      </w:r>
      <w:r>
        <w:rPr>
          <w:rFonts w:ascii="Arial" w:hAnsi="Arial"/>
          <w:color w:val="1E1E1E"/>
          <w:sz w:val="21"/>
        </w:rPr>
        <w:t xml:space="preserve"> Ensuring all roles are correctly classified under labor laws (e.g., FLSA in the US) regarding overtime eligibility.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Financial Sustainability:</w:t>
      </w:r>
      <w:r>
        <w:rPr>
          <w:rFonts w:ascii="Arial" w:hAnsi="Arial"/>
          <w:color w:val="1E1E1E"/>
          <w:sz w:val="21"/>
        </w:rPr>
        <w:t xml:space="preserve"> Reviewing the "compa-ratio" (actual pay vs. midpoint) to ensure the compensation budget remains sustainable over the long term.</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Effective compensation management is a cornerstone of organizational excellence, serving as the bridge between financial strategy and human behavior. By adhering to the pillars of internal equity and external competitiveness, leaders can build a foundation of trust that attracts the world’s best talent while driving internal productivity. Ultimately, a well-managed compensation system does not merely pay for time; it invests in the potential and commitment of the workforce.</w:t>
      </w:r>
    </w:p>
    <w:p>
      <w:pPr>
        <w:spacing w:before="40" w:after="120" w:line="276" w:lineRule="auto"/>
        <w:ind w:left="0" w:right="0" w:firstLine="0"/>
        <w:jc w:val="left"/>
      </w:pPr>
      <w:r>
        <w:rPr>
          <w:rFonts w:ascii="Arial" w:hAnsi="Arial"/>
          <w:color w:val="1E1E1E"/>
          <w:sz w:val="21"/>
        </w:rPr>
        <w:t>As the global economy continues to evolve, the most successful organizations will be those that view compensation as a dynamic, living system rather than a fixed administrative burden. The shift toward total rewards and pay transparency reflects a broader movement toward more ethical and data-driven management practices. By continuously refining these strategies, organizations can ensure they remain resilient, competitive, and deeply aligned with the aspirations of their employees.</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