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11</w:t>
      </w:r>
    </w:p>
    <w:p>
      <w:pPr>
        <w:spacing w:before="0" w:after="240" w:line="288" w:lineRule="auto"/>
        <w:ind w:left="0" w:right="0" w:firstLine="0"/>
        <w:jc w:val="left"/>
        <w:pBdr>
          <w:bottom w:val="single" w:sz="6" w:space="6" w:color="D0D5DD"/>
        </w:pBdr>
      </w:pPr>
      <w:r>
        <w:rPr>
          <w:rFonts w:ascii="Arial" w:hAnsi="Arial"/>
          <w:b/>
          <w:color w:val="111827"/>
          <w:sz w:val="23"/>
        </w:rPr>
        <w:t>Discuss the various forms of organizational structure available to businesses, highlighting their advantages and disadvantages. Explain how the choice of organizational structure can impact an organization's effectiveness and efficiency, and provide examples of types of businesses that might benefit from each structure.</w:t>
      </w:r>
    </w:p>
    <w:p>
      <w:pPr>
        <w:spacing w:before="40" w:after="120" w:line="276" w:lineRule="auto"/>
        <w:ind w:left="0" w:right="0" w:firstLine="0"/>
        <w:jc w:val="left"/>
      </w:pPr>
      <w:r>
        <w:rPr>
          <w:rFonts w:ascii="Arial" w:hAnsi="Arial"/>
          <w:color w:val="1E1E1E"/>
          <w:sz w:val="21"/>
        </w:rPr>
        <w:t>Organizational structure is defined as the formal system of task and reporting relationships that coordinates and motivates organizational members so they work together to achieve organizational goals (Jones &amp; George, 2022). This framework serves as the skeleton of the enterprise, dictating how labor is divided, how resources are allocated, and how information flows between various hierarchical levels. By establishing a clear architecture of authority, the structure ensures that individual efforts are aggregated into a cohesive output that aligns with the overarching strategic vision of the firm.</w:t>
      </w:r>
    </w:p>
    <w:p>
      <w:pPr>
        <w:spacing w:before="40" w:after="120" w:line="276" w:lineRule="auto"/>
        <w:ind w:left="0" w:right="0" w:firstLine="0"/>
        <w:jc w:val="left"/>
      </w:pPr>
      <w:r>
        <w:rPr>
          <w:rFonts w:ascii="Arial" w:hAnsi="Arial"/>
          <w:color w:val="1E1E1E"/>
          <w:sz w:val="21"/>
        </w:rPr>
        <w:t>In practical application, an organization’s structure functions as a roadmap for decision-making and operational execution. It determines whether authority is concentrated at the top or distributed across the workforce, thereby influencing the speed at which a company can respond to market fluctuations. Furthermore, the structural design establishes the boundaries of departments, which can either facilitate seamless collaboration or create silos that impede collective progress. Ultimately, the chosen configuration acts as a primary lever for managers to enhance efficiency by minimizing role ambiguity and optimizing the utilization of human capital.</w:t>
      </w:r>
    </w:p>
    <w:p>
      <w:pPr>
        <w:keepNext/>
        <w:spacing w:before="220" w:after="100" w:line="276" w:lineRule="auto"/>
        <w:ind w:left="0" w:right="0" w:firstLine="0"/>
        <w:jc w:val="left"/>
      </w:pPr>
      <w:r>
        <w:rPr>
          <w:rFonts w:ascii="Arial" w:hAnsi="Arial"/>
          <w:b/>
          <w:color w:val="111827"/>
          <w:sz w:val="25"/>
        </w:rPr>
        <w:t>Core Pillars of Organizational Structure</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Work Specialization and Departmentalization:</w:t>
      </w:r>
      <w:r>
        <w:rPr>
          <w:rFonts w:ascii="Arial" w:hAnsi="Arial"/>
          <w:color w:val="1E1E1E"/>
          <w:sz w:val="21"/>
        </w:rPr>
        <w:t xml:space="preserve"> This pillar involves the degree to which organizational tasks are subdivided into separate jobs and subsequently grouped into logical units to facilitate coordination. High levels of specialization, often seen in manufacturing firms like Toyota, allow employees to develop deep expertise and achieve high output through repetitive mastery, though it carries the risk of employee burnout and reduced motivation. Departmentalization then organizes these specialized roles—whether by function, product, geography, or customer—to ensure that related activities are managed under a unified leadership structure, which streamlines resource sharing and clarifies reporting lines.</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The Chain of Command and Span of Control:</w:t>
      </w:r>
      <w:r>
        <w:rPr>
          <w:rFonts w:ascii="Arial" w:hAnsi="Arial"/>
          <w:color w:val="1E1E1E"/>
          <w:sz w:val="21"/>
        </w:rPr>
        <w:t xml:space="preserve"> These dimensions define the vertical architecture of the firm, identifying who reports to whom and the number of subordinates a manager can efficiently oversee. A narrow span of control results in a "tall" structure with many hierarchical layers, providing close supervision and clear career progression paths, which is often beneficial for high-stakes environments like surgical units or military operations. Conversely, a wide span of control creates a "flat" structure that encourages employee autonomy and reduces the costs associated with middle management, a model frequently adopted by technology startups and creative agencies to foster rapid communication and agility.</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Centralization and Formalization:</w:t>
      </w:r>
      <w:r>
        <w:rPr>
          <w:rFonts w:ascii="Arial" w:hAnsi="Arial"/>
          <w:color w:val="1E1E1E"/>
          <w:sz w:val="21"/>
        </w:rPr>
        <w:t xml:space="preserve"> This pillar addresses the locus of decision-making authority and the extent to which roles are standardized through explicit rules and procedures. Centralized structures concentrate power at the apex of the organization, ensuring tight control and consistency, which is vital for brands like McDonald’s that prioritize global service uniformity. Formalization complements this by utilizing written manuals and standardized protocols to govern behavior, reducing variability in output. In contrast, decentralized and low-formalization structures empower lower-level employees to make decisions, which is essential for professional services firms where customized solutions and expert judgment are required for client success.</w:t>
      </w:r>
    </w:p>
    <w:p>
      <w:pPr>
        <w:keepNext/>
        <w:spacing w:before="220" w:after="100" w:line="276" w:lineRule="auto"/>
        <w:ind w:left="0" w:right="0" w:firstLine="0"/>
        <w:jc w:val="left"/>
      </w:pPr>
      <w:r>
        <w:rPr>
          <w:rFonts w:ascii="Arial" w:hAnsi="Arial"/>
          <w:b/>
          <w:color w:val="111827"/>
          <w:sz w:val="25"/>
        </w:rPr>
        <w:t>Importance of Organizational Structure in Contemporary Business</w:t>
      </w:r>
    </w:p>
    <w:p>
      <w:pPr>
        <w:spacing w:before="40" w:after="120" w:line="276" w:lineRule="auto"/>
        <w:ind w:left="0" w:right="0" w:firstLine="0"/>
        <w:jc w:val="left"/>
      </w:pPr>
      <w:r>
        <w:rPr>
          <w:rFonts w:ascii="Arial" w:hAnsi="Arial"/>
          <w:color w:val="1E1E1E"/>
          <w:sz w:val="21"/>
        </w:rPr>
        <w:t>The strategic configuration of an organization is a critical determinant of its ability to navigate complex global markets and sustain a competitive advantage: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Facilitating Strategic Alignment:</w:t>
      </w:r>
      <w:r>
        <w:rPr>
          <w:rFonts w:ascii="Arial" w:hAnsi="Arial"/>
          <w:color w:val="1E1E1E"/>
          <w:sz w:val="21"/>
        </w:rPr>
        <w:t xml:space="preserve"> Structure ensures that the internal capabilities of the firm are directly mapped to its external objectives. For example, Apple utilizes a functional structure to maintain centralized control over design and innovation, ensuring that every product adheres to a singular aesthetic and technological standard.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Enhancing Operational Efficiency:</w:t>
      </w:r>
      <w:r>
        <w:rPr>
          <w:rFonts w:ascii="Arial" w:hAnsi="Arial"/>
          <w:color w:val="1E1E1E"/>
          <w:sz w:val="21"/>
        </w:rPr>
        <w:t xml:space="preserve"> By minimizing overlaps and clarifying task ownership, a well-designed structure reduces the waste of human and financial resources. Walmart employs a highly centralized and functional structure to manage its massive logistics network, allowing the company to achieve unparalleled economies of scale and pass savings to consumers.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Driving Innovation and Agility:</w:t>
      </w:r>
      <w:r>
        <w:rPr>
          <w:rFonts w:ascii="Arial" w:hAnsi="Arial"/>
          <w:color w:val="1E1E1E"/>
          <w:sz w:val="21"/>
        </w:rPr>
        <w:t xml:space="preserve"> Flexible structures allow organizations to pivot quickly in response to disruptive technologies or shifting consumer preferences. 3M utilizes a decentralized divisional structure that grants individual business units the autonomy to pursue R&amp;D, resulting in a continuous pipeline of diverse products across multiple industries.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Optimizing Communication Flows:</w:t>
      </w:r>
      <w:r>
        <w:rPr>
          <w:rFonts w:ascii="Arial" w:hAnsi="Arial"/>
          <w:color w:val="1E1E1E"/>
          <w:sz w:val="21"/>
        </w:rPr>
        <w:t xml:space="preserve"> The structural design dictates the pathways through which data and feedback travel, directly impacting the quality of executive decision-making. General Electric transitioned toward a more simplified, divisional framework to eliminate bureaucratic bottlenecks and ensure that market insights from local regions reached senior leadership without distortion.</w:t>
      </w:r>
    </w:p>
    <w:p>
      <w:pPr>
        <w:keepNext/>
        <w:spacing w:before="220" w:after="100" w:line="276" w:lineRule="auto"/>
        <w:ind w:left="0" w:right="0" w:firstLine="0"/>
        <w:jc w:val="left"/>
      </w:pPr>
      <w:r>
        <w:rPr>
          <w:rFonts w:ascii="Arial" w:hAnsi="Arial"/>
          <w:b/>
          <w:color w:val="111827"/>
          <w:sz w:val="25"/>
        </w:rPr>
        <w:t>Comparative Analysis: Organizational Structure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Functional Structure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Divisional Structure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Matrix Structure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Network/Flat Structure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Decision Speed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Slow due to vertical hierarchy.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localized within divisions.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Slow; requires multi-manager consensus.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Very fast; high employee autonomy.</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Resource Use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efficiency via specialization.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Lower efficiency; duplicated functions.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shared across projects.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Lean; relies on external partners.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Communication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Vertical and often siloed.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Horizontal within the division.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Complex; dual reporting lines.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Fluid and highly decentralized.</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Internal technical excellence.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Specific products or markets.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Project-based integration.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Flexibility and external collaboration.</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Organizational Structure Within Organizations</w:t>
      </w:r>
    </w:p>
    <w:p>
      <w:pPr>
        <w:spacing w:before="40" w:after="120" w:line="276" w:lineRule="auto"/>
        <w:ind w:left="0" w:right="0" w:firstLine="0"/>
        <w:jc w:val="left"/>
      </w:pPr>
      <w:r>
        <w:rPr>
          <w:rFonts w:ascii="Arial" w:hAnsi="Arial"/>
          <w:color w:val="1E1E1E"/>
          <w:sz w:val="21"/>
        </w:rPr>
        <w:t>Leaders must actively manage and refine their organizational architecture to ensure it remains a facilitator rather than a barrier to performance:</w:t>
      </w:r>
    </w:p>
    <w:p>
      <w:pPr>
        <w:keepNext/>
        <w:spacing w:before="180" w:after="60" w:line="276" w:lineRule="auto"/>
        <w:ind w:left="0" w:right="0" w:firstLine="0"/>
        <w:jc w:val="left"/>
      </w:pPr>
      <w:r>
        <w:rPr>
          <w:rFonts w:ascii="Arial" w:hAnsi="Arial"/>
          <w:b/>
          <w:color w:val="111827"/>
          <w:sz w:val="22"/>
        </w:rPr>
        <w:t>1. Aligning Structure with Corporate Strategy</w:t>
      </w:r>
    </w:p>
    <w:p>
      <w:pPr>
        <w:spacing w:before="40" w:after="120" w:line="276" w:lineRule="auto"/>
        <w:ind w:left="0" w:right="0" w:firstLine="0"/>
        <w:jc w:val="left"/>
      </w:pPr>
      <w:r>
        <w:rPr>
          <w:rFonts w:ascii="Arial" w:hAnsi="Arial"/>
          <w:color w:val="1E1E1E"/>
          <w:sz w:val="21"/>
        </w:rPr>
        <w:t>Leaders must ensure that the structural design directly supports the firm’s primary method of value creation.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Cost Leadership Alignment:</w:t>
      </w:r>
      <w:r>
        <w:rPr>
          <w:rFonts w:ascii="Arial" w:hAnsi="Arial"/>
          <w:color w:val="1E1E1E"/>
          <w:sz w:val="21"/>
        </w:rPr>
        <w:t xml:space="preserve"> Organizations pursuing low-cost strategies should adopt centralized, functional structures to maximize control and minimize redundant expenditures.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Differentiation Alignment:</w:t>
      </w:r>
      <w:r>
        <w:rPr>
          <w:rFonts w:ascii="Arial" w:hAnsi="Arial"/>
          <w:color w:val="1E1E1E"/>
          <w:sz w:val="21"/>
        </w:rPr>
        <w:t xml:space="preserve"> Firms focusing on innovation should lean toward decentralized or matrix structures that encourage cross-pollination of ideas and rapid prototyping.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Dynamic Reconfiguration:</w:t>
      </w:r>
      <w:r>
        <w:rPr>
          <w:rFonts w:ascii="Arial" w:hAnsi="Arial"/>
          <w:color w:val="1E1E1E"/>
          <w:sz w:val="21"/>
        </w:rPr>
        <w:t xml:space="preserve"> Effective leaders periodically audit the structure to ensure it evolves alongside shifts in the corporate lifecycle or external environment.</w:t>
      </w:r>
    </w:p>
    <w:p>
      <w:pPr>
        <w:keepNext/>
        <w:spacing w:before="180" w:after="60" w:line="276" w:lineRule="auto"/>
        <w:ind w:left="0" w:right="0" w:firstLine="0"/>
        <w:jc w:val="left"/>
      </w:pPr>
      <w:r>
        <w:rPr>
          <w:rFonts w:ascii="Arial" w:hAnsi="Arial"/>
          <w:b/>
          <w:color w:val="111827"/>
          <w:sz w:val="22"/>
        </w:rPr>
        <w:t>2. Optimizing the Span of Control for Performance</w:t>
      </w:r>
    </w:p>
    <w:p>
      <w:pPr>
        <w:spacing w:before="40" w:after="120" w:line="276" w:lineRule="auto"/>
        <w:ind w:left="0" w:right="0" w:firstLine="0"/>
        <w:jc w:val="left"/>
      </w:pPr>
      <w:r>
        <w:rPr>
          <w:rFonts w:ascii="Arial" w:hAnsi="Arial"/>
          <w:color w:val="1E1E1E"/>
          <w:sz w:val="21"/>
        </w:rPr>
        <w:t>The number of direct reports assigned to a manager must be balanced to prevent oversight fatigue or employee neglect.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Assessing Task Complexity:</w:t>
      </w:r>
      <w:r>
        <w:rPr>
          <w:rFonts w:ascii="Arial" w:hAnsi="Arial"/>
          <w:color w:val="1E1E1E"/>
          <w:sz w:val="21"/>
        </w:rPr>
        <w:t xml:space="preserve"> Managers overseeing routine, standardized tasks can handle wider spans, whereas complex, non-routine work requires narrower spans for adequate support.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Leveraging Technology:</w:t>
      </w:r>
      <w:r>
        <w:rPr>
          <w:rFonts w:ascii="Arial" w:hAnsi="Arial"/>
          <w:color w:val="1E1E1E"/>
          <w:sz w:val="21"/>
        </w:rPr>
        <w:t xml:space="preserve"> Leaders utilize digital collaboration tools to expand their span of control without sacrificing the quality of communication or performance tracking.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Empowering Subordinates:</w:t>
      </w:r>
      <w:r>
        <w:rPr>
          <w:rFonts w:ascii="Arial" w:hAnsi="Arial"/>
          <w:color w:val="1E1E1E"/>
          <w:sz w:val="21"/>
        </w:rPr>
        <w:t xml:space="preserve"> Widening the span of control is often used as a developmental tool to force decentralization and encourage middle-management initiative.</w:t>
      </w:r>
    </w:p>
    <w:p>
      <w:pPr>
        <w:keepNext/>
        <w:spacing w:before="180" w:after="60" w:line="276" w:lineRule="auto"/>
        <w:ind w:left="0" w:right="0" w:firstLine="0"/>
        <w:jc w:val="left"/>
      </w:pPr>
      <w:r>
        <w:rPr>
          <w:rFonts w:ascii="Arial" w:hAnsi="Arial"/>
          <w:b/>
          <w:color w:val="111827"/>
          <w:sz w:val="22"/>
        </w:rPr>
        <w:t>3. Balancing Centralization and Decentralization</w:t>
      </w:r>
    </w:p>
    <w:p>
      <w:pPr>
        <w:spacing w:before="40" w:after="120" w:line="276" w:lineRule="auto"/>
        <w:ind w:left="0" w:right="0" w:firstLine="0"/>
        <w:jc w:val="left"/>
      </w:pPr>
      <w:r>
        <w:rPr>
          <w:rFonts w:ascii="Arial" w:hAnsi="Arial"/>
          <w:color w:val="1E1E1E"/>
          <w:sz w:val="21"/>
        </w:rPr>
        <w:t>Finding the "sweet spot" between top-down control and bottom-up empowerment is essential for maintaining both stability and responsiveness.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Critical Decision Centralization:</w:t>
      </w:r>
      <w:r>
        <w:rPr>
          <w:rFonts w:ascii="Arial" w:hAnsi="Arial"/>
          <w:color w:val="1E1E1E"/>
          <w:sz w:val="21"/>
        </w:rPr>
        <w:t xml:space="preserve"> High-risk decisions regarding capital allocation and brand identity are typically retained at the corporate level to ensure organizational integrity.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Operational Decentralization:</w:t>
      </w:r>
      <w:r>
        <w:rPr>
          <w:rFonts w:ascii="Arial" w:hAnsi="Arial"/>
          <w:color w:val="1E1E1E"/>
          <w:sz w:val="21"/>
        </w:rPr>
        <w:t xml:space="preserve"> Leaders delegate day-to-day operational decisions to those closest to the customer, improving service speed and employee engagement.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Hybrid Modeling:</w:t>
      </w:r>
      <w:r>
        <w:rPr>
          <w:rFonts w:ascii="Arial" w:hAnsi="Arial"/>
          <w:color w:val="1E1E1E"/>
          <w:sz w:val="21"/>
        </w:rPr>
        <w:t xml:space="preserve"> Many modern firms use "federal" models where core functions are centralized while market-facing activities are decentralized to local business units.</w:t>
      </w:r>
    </w:p>
    <w:p>
      <w:pPr>
        <w:keepNext/>
        <w:spacing w:before="180" w:after="60" w:line="276" w:lineRule="auto"/>
        <w:ind w:left="0" w:right="0" w:firstLine="0"/>
        <w:jc w:val="left"/>
      </w:pPr>
      <w:r>
        <w:rPr>
          <w:rFonts w:ascii="Arial" w:hAnsi="Arial"/>
          <w:b/>
          <w:color w:val="111827"/>
          <w:sz w:val="22"/>
        </w:rPr>
        <w:t>4. Cultivating Cross-Functional Integration</w:t>
      </w:r>
    </w:p>
    <w:p>
      <w:pPr>
        <w:spacing w:before="40" w:after="120" w:line="276" w:lineRule="auto"/>
        <w:ind w:left="0" w:right="0" w:firstLine="0"/>
        <w:jc w:val="left"/>
      </w:pPr>
      <w:r>
        <w:rPr>
          <w:rFonts w:ascii="Arial" w:hAnsi="Arial"/>
          <w:color w:val="1E1E1E"/>
          <w:sz w:val="21"/>
        </w:rPr>
        <w:t>To prevent the formation of rigid silos, leaders must implement mechanisms that encourage horizontal collaboration across the formal structure.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Liaison Roles:</w:t>
      </w:r>
      <w:r>
        <w:rPr>
          <w:rFonts w:ascii="Arial" w:hAnsi="Arial"/>
          <w:color w:val="1E1E1E"/>
          <w:sz w:val="21"/>
        </w:rPr>
        <w:t xml:space="preserve"> Appointing individuals specifically tasked with coordinating between two departments helps bridge gaps in communication and shared goals.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Cross-Functional Teams:</w:t>
      </w:r>
      <w:r>
        <w:rPr>
          <w:rFonts w:ascii="Arial" w:hAnsi="Arial"/>
          <w:color w:val="1E1E1E"/>
          <w:sz w:val="21"/>
        </w:rPr>
        <w:t xml:space="preserve"> Temporary task forces or permanent committees are established to tackle specific projects that require diverse expertise from different functional areas.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Shared Incentives:</w:t>
      </w:r>
      <w:r>
        <w:rPr>
          <w:rFonts w:ascii="Arial" w:hAnsi="Arial"/>
          <w:color w:val="1E1E1E"/>
          <w:sz w:val="21"/>
        </w:rPr>
        <w:t xml:space="preserve"> Aligning performance metrics across different departments ensures that employees are rewarded for collective success rather than just departmental wins.</w:t>
      </w:r>
    </w:p>
    <w:p>
      <w:pPr>
        <w:keepNext/>
        <w:spacing w:before="180" w:after="60" w:line="276" w:lineRule="auto"/>
        <w:ind w:left="0" w:right="0" w:firstLine="0"/>
        <w:jc w:val="left"/>
      </w:pPr>
      <w:r>
        <w:rPr>
          <w:rFonts w:ascii="Arial" w:hAnsi="Arial"/>
          <w:b/>
          <w:color w:val="111827"/>
          <w:sz w:val="22"/>
        </w:rPr>
        <w:t>5. Scaling through Modular and Network Designs</w:t>
      </w:r>
    </w:p>
    <w:p>
      <w:pPr>
        <w:spacing w:before="40" w:after="120" w:line="276" w:lineRule="auto"/>
        <w:ind w:left="0" w:right="0" w:firstLine="0"/>
        <w:jc w:val="left"/>
      </w:pPr>
      <w:r>
        <w:rPr>
          <w:rFonts w:ascii="Arial" w:hAnsi="Arial"/>
          <w:color w:val="1E1E1E"/>
          <w:sz w:val="21"/>
        </w:rPr>
        <w:t>As organizations grow, leaders often move away from traditional hierarchies toward more modular designs to maintain agility.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Outsourcing Non-Core Activities:</w:t>
      </w:r>
      <w:r>
        <w:rPr>
          <w:rFonts w:ascii="Arial" w:hAnsi="Arial"/>
          <w:color w:val="1E1E1E"/>
          <w:sz w:val="21"/>
        </w:rPr>
        <w:t xml:space="preserve"> By using a network structure, leaders can focus internal resources on core competencies while outsourcing manufacturing or IT to specialized partners.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Modular Product Architecture:</w:t>
      </w:r>
      <w:r>
        <w:rPr>
          <w:rFonts w:ascii="Arial" w:hAnsi="Arial"/>
          <w:color w:val="1E1E1E"/>
          <w:sz w:val="21"/>
        </w:rPr>
        <w:t xml:space="preserve"> Designing the organization around self-contained modules allows for the "plug-and-play" addition of new business units without disrupting the entire system.</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Virtual Collaboration:</w:t>
      </w:r>
      <w:r>
        <w:rPr>
          <w:rFonts w:ascii="Arial" w:hAnsi="Arial"/>
          <w:color w:val="1E1E1E"/>
          <w:sz w:val="21"/>
        </w:rPr>
        <w:t xml:space="preserve"> Modern leaders harness global talent pools through virtual structures, allowing for 24-hour operational cycles and reduced overhead costs.</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selection of an organizational structure is not merely an administrative task but a fundamental strategic decision that dictates the long-term viability of a business. Whether a firm adopts a functional, divisional, matrix, or network approach, the chosen framework must harmonize with the organization’s size, technology, and environmental volatility. By understanding the inherent trade-offs between efficiency and flexibility, leaders can construct an architecture that empowers employees and optimizes resource utilization.</w:t>
      </w:r>
    </w:p>
    <w:p>
      <w:pPr>
        <w:spacing w:before="40" w:after="120" w:line="276" w:lineRule="auto"/>
        <w:ind w:left="0" w:right="0" w:firstLine="0"/>
        <w:jc w:val="left"/>
      </w:pPr>
      <w:r>
        <w:rPr>
          <w:rFonts w:ascii="Arial" w:hAnsi="Arial"/>
          <w:color w:val="1E1E1E"/>
          <w:sz w:val="21"/>
        </w:rPr>
        <w:t>Ultimately, the most effective organizational structures are those that remain dynamic and responsive to the shifting demands of the global marketplace. While traditional hierarchies provide the stability necessary for large-scale operations, the integration of organic and decentralized elements is increasingly vital for fostering innovation. Success, therefore, lies in a leader's ability to balance the clarity of formal reporting lines with the agility required to navigate a complex and interconnected economic landscape.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