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120" w:line="264" w:lineRule="auto"/>
        <w:ind w:left="0" w:right="0" w:firstLine="0"/>
        <w:jc w:val="left"/>
      </w:pPr>
      <w:r>
        <w:rPr>
          <w:rFonts w:ascii="Arial" w:hAnsi="Arial"/>
          <w:b/>
          <w:color w:val="111827"/>
          <w:sz w:val="32"/>
        </w:rPr>
        <w:t>Week 11</w:t>
      </w:r>
    </w:p>
    <w:p>
      <w:pPr>
        <w:spacing w:before="0" w:after="240" w:line="288" w:lineRule="auto"/>
        <w:ind w:left="0" w:right="0" w:firstLine="0"/>
        <w:jc w:val="left"/>
        <w:pBdr>
          <w:bottom w:val="single" w:sz="6" w:space="6" w:color="D0D5DD"/>
        </w:pBdr>
      </w:pPr>
      <w:r>
        <w:rPr>
          <w:rFonts w:ascii="Arial" w:hAnsi="Arial"/>
          <w:b/>
          <w:color w:val="111827"/>
          <w:sz w:val="23"/>
        </w:rPr>
        <w:t>Explain the different types of dividend policies.</w:t>
      </w:r>
    </w:p>
    <w:p>
      <w:pPr>
        <w:spacing w:before="40" w:after="120" w:line="276" w:lineRule="auto"/>
        <w:ind w:left="0" w:right="0" w:firstLine="0"/>
        <w:jc w:val="left"/>
      </w:pPr>
      <w:r>
        <w:rPr>
          <w:rFonts w:ascii="Arial" w:hAnsi="Arial"/>
          <w:color w:val="1E1E1E"/>
          <w:sz w:val="21"/>
        </w:rPr>
        <w:t>Dividend policy constitutes the strategic framework through which a corporation determines the amount, timing, and frequency of earnings distributions to its shareholders. This decision-making process is fundamentally concerned with the allocation of net income between two primary channels: the distribution of dividends to provide immediate liquidity to investors and the retention of earnings for reinvestment into the firm’s operations. According to Brealey, Myers, and Allen (2020), dividend policy is a critical component of corporate financial strategy because it directly influences a firm’s capital structure, its cost of equity, and the market’s perception of its future growth prospects. In a perfectly efficient market, dividend policy might be considered irrelevant to firm value; however, in the presence of taxes, transaction costs, and information asymmetry, the specific policy chosen by a board of directors becomes a vital tool for signaling financial health and managing investor expectations.</w:t>
      </w:r>
    </w:p>
    <w:p>
      <w:pPr>
        <w:spacing w:before="40" w:after="120" w:line="276" w:lineRule="auto"/>
        <w:ind w:left="0" w:right="0" w:firstLine="0"/>
        <w:jc w:val="left"/>
      </w:pPr>
      <w:r>
        <w:rPr>
          <w:rFonts w:ascii="Arial" w:hAnsi="Arial"/>
          <w:color w:val="1E1E1E"/>
          <w:sz w:val="21"/>
        </w:rPr>
        <w:t>In operational practice, dividend policy functions as a balancing act between the firm’s internal need for capital and the external expectations of the investment community. Managers must assess their current liquidity positions, projected capital expenditures, and the availability of external financing before committing to a payout schedule. Once established, a dividend policy is rarely changed abruptly, as the market often interprets a reduction in dividends as a sign of underlying financial distress. Consequently, firms typically adopt a "smoothing" approach, where they only increase dividends when they are confident that future earnings can sustain the higher payout level. This cautious approach ensures that the dividend remains a reliable indicator of long-term profitability rather than a reflection of short-term, volatile earnings fluctuations.</w:t>
      </w:r>
    </w:p>
    <w:p>
      <w:pPr>
        <w:keepNext/>
        <w:spacing w:before="220" w:after="100" w:line="276" w:lineRule="auto"/>
        <w:ind w:left="0" w:right="0" w:firstLine="0"/>
        <w:jc w:val="left"/>
      </w:pPr>
      <w:r>
        <w:rPr>
          <w:rFonts w:ascii="Arial" w:hAnsi="Arial"/>
          <w:b/>
          <w:color w:val="111827"/>
          <w:sz w:val="25"/>
        </w:rPr>
        <w:t>Core Pillars of Dividend Policy</w:t>
      </w:r>
    </w:p>
    <w:p>
      <w:pPr>
        <w:spacing w:before="40" w:after="100" w:line="276" w:lineRule="auto"/>
        <w:ind w:left="461" w:right="0" w:hanging="317"/>
        <w:jc w:val="left"/>
      </w:pPr>
      <w:r>
        <w:rPr>
          <w:rFonts w:ascii="Arial" w:hAnsi="Arial"/>
          <w:b/>
          <w:sz w:val="21"/>
        </w:rPr>
        <w:t xml:space="preserve">1. </w:t>
      </w:r>
      <w:r>
        <w:rPr>
          <w:rFonts w:ascii="Arial" w:hAnsi="Arial"/>
          <w:b/>
          <w:color w:val="1E1E1E"/>
          <w:sz w:val="21"/>
        </w:rPr>
        <w:t>Stability and Predictability of Payouts:</w:t>
      </w:r>
      <w:r>
        <w:rPr>
          <w:rFonts w:ascii="Arial" w:hAnsi="Arial"/>
          <w:color w:val="1E1E1E"/>
          <w:sz w:val="21"/>
        </w:rPr>
        <w:t xml:space="preserve"> This pillar emphasizes the importance of maintaining a consistent dividend stream to reduce the perceived risk of the stock. Investors, particularly institutional ones like pension funds, often rely on dividends for steady income, and a stable policy helps to satisfy this "clientele effect." By avoiding frequent or drastic changes in the dividend amount, a company can foster long-term shareholder loyalty and potentially lower its cost of equity, as the market rewards the certainty of cash flows with a higher valuation multiple.</w:t>
      </w:r>
    </w:p>
    <w:p>
      <w:pPr>
        <w:spacing w:before="40" w:after="100" w:line="276" w:lineRule="auto"/>
        <w:ind w:left="461" w:right="0" w:hanging="317"/>
        <w:jc w:val="left"/>
      </w:pPr>
      <w:r>
        <w:rPr>
          <w:rFonts w:ascii="Arial" w:hAnsi="Arial"/>
          <w:b/>
          <w:sz w:val="21"/>
        </w:rPr>
        <w:t xml:space="preserve">2. </w:t>
      </w:r>
      <w:r>
        <w:rPr>
          <w:rFonts w:ascii="Arial" w:hAnsi="Arial"/>
          <w:b/>
          <w:color w:val="1E1E1E"/>
          <w:sz w:val="21"/>
        </w:rPr>
        <w:t>Capital Structure and Reinvestment Alignment:</w:t>
      </w:r>
      <w:r>
        <w:rPr>
          <w:rFonts w:ascii="Arial" w:hAnsi="Arial"/>
          <w:color w:val="1E1E1E"/>
          <w:sz w:val="21"/>
        </w:rPr>
        <w:t xml:space="preserve"> A robust dividend policy must be inextricably linked to the firm’s long-term capital budgeting requirements and its target debt-to-equity ratio. This pillar dictates that dividends should only be paid out of "residual" cash—funds that remain after all positive Net Present Value (NPV) projects have been fully financed. If a firm pays out too much in dividends, it may be forced to seek expensive external financing or, worse, pass up lucrative growth opportunities, which would ultimately erode shareholder value over time.</w:t>
      </w:r>
    </w:p>
    <w:p>
      <w:pPr>
        <w:spacing w:before="40" w:after="100" w:line="276" w:lineRule="auto"/>
        <w:ind w:left="461" w:right="0" w:hanging="317"/>
        <w:jc w:val="left"/>
      </w:pPr>
      <w:r>
        <w:rPr>
          <w:rFonts w:ascii="Arial" w:hAnsi="Arial"/>
          <w:b/>
          <w:sz w:val="21"/>
        </w:rPr>
        <w:t xml:space="preserve">3. </w:t>
      </w:r>
      <w:r>
        <w:rPr>
          <w:rFonts w:ascii="Arial" w:hAnsi="Arial"/>
          <w:b/>
          <w:color w:val="1E1E1E"/>
          <w:sz w:val="21"/>
        </w:rPr>
        <w:t>Information Signaling and Market Communication:</w:t>
      </w:r>
      <w:r>
        <w:rPr>
          <w:rFonts w:ascii="Arial" w:hAnsi="Arial"/>
          <w:color w:val="1E1E1E"/>
          <w:sz w:val="21"/>
        </w:rPr>
        <w:t xml:space="preserve"> Because managers possess more information about a firm’s prospects than external investors, the dividend policy serves as a credible communication tool. A commitment to a regular or increasing dividend signals management’s confidence in the permanence of current earnings levels. Conversely, the omission or cutting of a dividend provides a stark warning to the market about potential liquidity constraints or earnings declines, making the policy a central element of the firm’s broader investor relations strategy.</w:t>
      </w:r>
    </w:p>
    <w:p>
      <w:pPr>
        <w:keepNext/>
        <w:spacing w:before="220" w:after="100" w:line="276" w:lineRule="auto"/>
        <w:ind w:left="0" w:right="0" w:firstLine="0"/>
        <w:jc w:val="left"/>
      </w:pPr>
      <w:r>
        <w:rPr>
          <w:rFonts w:ascii="Arial" w:hAnsi="Arial"/>
          <w:b/>
          <w:color w:val="111827"/>
          <w:sz w:val="25"/>
        </w:rPr>
        <w:t>Importance of Dividend Policy in Contemporary Business</w:t>
      </w:r>
    </w:p>
    <w:p>
      <w:pPr>
        <w:spacing w:before="40" w:after="120" w:line="276" w:lineRule="auto"/>
        <w:ind w:left="0" w:right="0" w:firstLine="0"/>
        <w:jc w:val="left"/>
      </w:pPr>
      <w:r>
        <w:rPr>
          <w:rFonts w:ascii="Arial" w:hAnsi="Arial"/>
          <w:color w:val="1E1E1E"/>
          <w:sz w:val="21"/>
        </w:rPr>
        <w:t>The strategic implementation of a dividend policy is essential for navigating the complexities of modern financial markets: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Reduction of Agency Costs:</w:t>
      </w:r>
      <w:r>
        <w:rPr>
          <w:rFonts w:ascii="Arial" w:hAnsi="Arial"/>
          <w:color w:val="1E1E1E"/>
          <w:sz w:val="21"/>
        </w:rPr>
        <w:t xml:space="preserve"> By committing to regular dividend payments, firms reduce the amount of "free cash flow" available to managers, thereby preventing them from investing in "empire-building" or low-return projects. For example, mature companies in the oil and gas sector, such as Chevron, use high dividend yields to instill financial discipline and ensure that capital is returned to owners rather than being wasted on inefficient expansions.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Market Signaling in Volatile Environments:</w:t>
      </w:r>
      <w:r>
        <w:rPr>
          <w:rFonts w:ascii="Arial" w:hAnsi="Arial"/>
          <w:color w:val="1E1E1E"/>
          <w:sz w:val="21"/>
        </w:rPr>
        <w:t xml:space="preserve"> During periods of economic uncertainty, a maintained or increased dividend acts as a "green flag" to the market, indicating that a company’s balance sheet is resilient. During the 2008 financial crisis and the 2020 pandemic, firms that maintained their dividends, such as Johnson &amp; Johnson, were often viewed as safer havens, which helped to stabilize their stock prices compared to peers who suspended payouts.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Attracting and Retaining Targeted Investor Clienteles:</w:t>
      </w:r>
      <w:r>
        <w:rPr>
          <w:rFonts w:ascii="Arial" w:hAnsi="Arial"/>
          <w:color w:val="1E1E1E"/>
          <w:sz w:val="21"/>
        </w:rPr>
        <w:t xml:space="preserve"> Different dividend policies attract different types of investors, which can influence the stock’s volatility and liquidity. Utility companies like NextEra Energy often employ high payout ratios to attract "income-seeking" investors who provide a stable, long-term capital base, whereas high-growth tech firms might retain all earnings to attract "capital gains" investors.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Optimizing Total Shareholder Return (TSR):</w:t>
      </w:r>
      <w:r>
        <w:rPr>
          <w:rFonts w:ascii="Arial" w:hAnsi="Arial"/>
          <w:color w:val="1E1E1E"/>
          <w:sz w:val="21"/>
        </w:rPr>
        <w:t xml:space="preserve"> A well-calibrated dividend policy ensures that the total return to shareholders—comprised of both capital appreciation and dividend yield—is maximized. Companies like Microsoft have successfully transitioned from zero-dividend growth stocks to mature dividend-paying giants, demonstrating that a shifting policy can support a stock’s valuation throughout different stages of the corporate lifecycle.</w:t>
      </w:r>
    </w:p>
    <w:p>
      <w:pPr>
        <w:keepNext/>
        <w:spacing w:before="220" w:after="100" w:line="276" w:lineRule="auto"/>
        <w:ind w:left="0" w:right="0" w:firstLine="0"/>
        <w:jc w:val="left"/>
      </w:pPr>
      <w:r>
        <w:rPr>
          <w:rFonts w:ascii="Arial" w:hAnsi="Arial"/>
          <w:b/>
          <w:color w:val="111827"/>
          <w:sz w:val="25"/>
        </w:rPr>
        <w:t>Comparative Analysis: Dividend Policy vs. Alternative Frameworks</w:t>
      </w:r>
    </w:p>
    <w:tbl>
      <w:tblPr>
        <w:tblW w:type="auto" w:w="0"/>
        <w:jc w:val="center"/>
        <w:tblLayout w:type="fixed"/>
        <w:tblLook w:firstColumn="1" w:firstRow="1" w:lastColumn="0" w:lastRow="0" w:noHBand="0" w:noVBand="1" w:val="04A0"/>
      </w:tblPr>
      <w:tblGrid>
        <w:gridCol w:w="1930"/>
        <w:gridCol w:w="1930"/>
        <w:gridCol w:w="1930"/>
        <w:gridCol w:w="1930"/>
        <w:gridCol w:w="1930"/>
      </w:tblGrid>
      <w:tr>
        <w:trPr>
          <w:cantSplit/>
          <w:tblHeader/>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Dimension</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Stable/Steady Policy</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Constant Payout Ratio</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Residual Policy</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Low Regular + Extra</w:t>
            </w:r>
          </w:p>
        </w:tc>
      </w:tr>
      <w:tr>
        <w:trPr>
          <w:cantSplit/>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Primary Objective</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Maintain fixed dollar amount</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Maintain fixed % of income</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Prioritize internal growth</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Flexibility in distribution</w:t>
            </w:r>
          </w:p>
        </w:tc>
      </w:tr>
      <w:tr>
        <w:trPr>
          <w:cantSplit/>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Payout Variability</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Very low and predictable</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High; fluctuates with profit</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Highly volatile year-to-year</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Moderate and adaptable</w:t>
            </w:r>
          </w:p>
        </w:tc>
      </w:tr>
      <w:tr>
        <w:trPr>
          <w:cantSplit/>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Investor Profile</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Risk-averse income seekers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Investors tolerant of risk</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Growth-oriented investors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Hybrid/Sophisticated types</w:t>
            </w:r>
          </w:p>
        </w:tc>
      </w:tr>
      <w:tr>
        <w:trPr>
          <w:cantSplit/>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Corporate Example</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Coca-Cola (Dividend King)</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Many European industrial firms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Early-stage tech companies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Ford Motor Company (historically)</w:t>
            </w:r>
          </w:p>
        </w:tc>
      </w:tr>
    </w:tbl>
    <w:p>
      <w:pPr>
        <w:spacing w:before="0" w:after="80" w:line="276" w:lineRule="auto"/>
        <w:ind w:left="0" w:right="0" w:firstLine="0"/>
        <w:jc w:val="left"/>
      </w:pPr>
    </w:p>
    <w:p>
      <w:pPr>
        <w:keepNext/>
        <w:spacing w:before="220" w:after="100" w:line="276" w:lineRule="auto"/>
        <w:ind w:left="0" w:right="0" w:firstLine="0"/>
        <w:jc w:val="left"/>
      </w:pPr>
      <w:r>
        <w:rPr>
          <w:rFonts w:ascii="Arial" w:hAnsi="Arial"/>
          <w:b/>
          <w:color w:val="111827"/>
          <w:sz w:val="25"/>
        </w:rPr>
        <w:t>How Leaders Effectively Harness Dividend Policy Within Organizations</w:t>
      </w:r>
    </w:p>
    <w:p>
      <w:pPr>
        <w:spacing w:before="40" w:after="120" w:line="276" w:lineRule="auto"/>
        <w:ind w:left="0" w:right="0" w:firstLine="0"/>
        <w:jc w:val="left"/>
      </w:pPr>
      <w:r>
        <w:rPr>
          <w:rFonts w:ascii="Arial" w:hAnsi="Arial"/>
          <w:color w:val="1E1E1E"/>
          <w:sz w:val="21"/>
        </w:rPr>
        <w:t>Effective leadership requires the integration of dividend policy into the broader corporate strategy to ensure financial sustainability and stakeholder trust:</w:t>
      </w:r>
    </w:p>
    <w:p>
      <w:pPr>
        <w:keepNext/>
        <w:spacing w:before="180" w:after="60" w:line="276" w:lineRule="auto"/>
        <w:ind w:left="0" w:right="0" w:firstLine="0"/>
        <w:jc w:val="left"/>
      </w:pPr>
      <w:r>
        <w:rPr>
          <w:rFonts w:ascii="Arial" w:hAnsi="Arial"/>
          <w:b/>
          <w:color w:val="111827"/>
          <w:sz w:val="22"/>
        </w:rPr>
        <w:t>1. Dynamic Financial Forecasting and Stress Testing</w:t>
      </w:r>
    </w:p>
    <w:p>
      <w:pPr>
        <w:spacing w:before="40" w:after="120" w:line="276" w:lineRule="auto"/>
        <w:ind w:left="0" w:right="0" w:firstLine="0"/>
        <w:jc w:val="left"/>
      </w:pPr>
      <w:r>
        <w:rPr>
          <w:rFonts w:ascii="Arial" w:hAnsi="Arial"/>
          <w:color w:val="1E1E1E"/>
          <w:sz w:val="21"/>
        </w:rPr>
        <w:t>Leaders must utilize sophisticated modeling to ensure that dividend commitments do not compromise the firm’s operational resilience.</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Multi-Scenario Modeling:</w:t>
      </w:r>
      <w:r>
        <w:rPr>
          <w:rFonts w:ascii="Arial" w:hAnsi="Arial"/>
          <w:color w:val="1E1E1E"/>
          <w:sz w:val="21"/>
        </w:rPr>
        <w:t xml:space="preserve"> Management conducts rigorous sensitivity analysis to determine how the dividend coverage ratio would be affected by a 20% or 30% decline in net income.</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Liquidity Buffer Maintenance:</w:t>
      </w:r>
      <w:r>
        <w:rPr>
          <w:rFonts w:ascii="Arial" w:hAnsi="Arial"/>
          <w:color w:val="1E1E1E"/>
          <w:sz w:val="21"/>
        </w:rPr>
        <w:t xml:space="preserve"> Leaders establish a "cash cushion" to ensure that dividends can be paid even during temporary periods of negative operating cash flow.</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Capital Expenditure Prioritization:</w:t>
      </w:r>
      <w:r>
        <w:rPr>
          <w:rFonts w:ascii="Arial" w:hAnsi="Arial"/>
          <w:color w:val="1E1E1E"/>
          <w:sz w:val="21"/>
        </w:rPr>
        <w:t xml:space="preserve"> Financial officers rank all potential investments to ensure that the dividend is only funded after critical maintenance and growth capital are secured.</w:t>
      </w:r>
    </w:p>
    <w:p>
      <w:pPr>
        <w:keepNext/>
        <w:spacing w:before="180" w:after="60" w:line="276" w:lineRule="auto"/>
        <w:ind w:left="0" w:right="0" w:firstLine="0"/>
        <w:jc w:val="left"/>
      </w:pPr>
      <w:r>
        <w:rPr>
          <w:rFonts w:ascii="Arial" w:hAnsi="Arial"/>
          <w:b/>
          <w:color w:val="111827"/>
          <w:sz w:val="22"/>
        </w:rPr>
        <w:t>2. Strategic Stakeholder and Market Communication</w:t>
      </w:r>
    </w:p>
    <w:p>
      <w:pPr>
        <w:spacing w:before="40" w:after="120" w:line="276" w:lineRule="auto"/>
        <w:ind w:left="0" w:right="0" w:firstLine="0"/>
        <w:jc w:val="left"/>
      </w:pPr>
      <w:r>
        <w:rPr>
          <w:rFonts w:ascii="Arial" w:hAnsi="Arial"/>
          <w:color w:val="1E1E1E"/>
          <w:sz w:val="21"/>
        </w:rPr>
        <w:t>Clear communication regarding the rationale behind a dividend policy is vital for managing market reactions and analyst expectations.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Forward-Looking Guidance:</w:t>
      </w:r>
      <w:r>
        <w:rPr>
          <w:rFonts w:ascii="Arial" w:hAnsi="Arial"/>
          <w:color w:val="1E1E1E"/>
          <w:sz w:val="21"/>
        </w:rPr>
        <w:t xml:space="preserve"> Executives provide detailed commentary during earnings calls about the sustainability of the payout and the conditions required for future increases.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Policy Formalization:</w:t>
      </w:r>
      <w:r>
        <w:rPr>
          <w:rFonts w:ascii="Arial" w:hAnsi="Arial"/>
          <w:color w:val="1E1E1E"/>
          <w:sz w:val="21"/>
        </w:rPr>
        <w:t xml:space="preserve"> Boards of directors document and publish their dividend philosophy in the annual report to provide transparency and reduce investor speculation.</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Proactive Crisis Communication:</w:t>
      </w:r>
      <w:r>
        <w:rPr>
          <w:rFonts w:ascii="Arial" w:hAnsi="Arial"/>
          <w:color w:val="1E1E1E"/>
          <w:sz w:val="21"/>
        </w:rPr>
        <w:t xml:space="preserve"> If a dividend must be cut, leaders communicate the decision early and frame it as a necessary step for long-term survival and eventual recovery.</w:t>
      </w:r>
    </w:p>
    <w:p>
      <w:pPr>
        <w:keepNext/>
        <w:spacing w:before="180" w:after="60" w:line="276" w:lineRule="auto"/>
        <w:ind w:left="0" w:right="0" w:firstLine="0"/>
        <w:jc w:val="left"/>
      </w:pPr>
      <w:r>
        <w:rPr>
          <w:rFonts w:ascii="Arial" w:hAnsi="Arial"/>
          <w:b/>
          <w:color w:val="111827"/>
          <w:sz w:val="22"/>
        </w:rPr>
        <w:t>3. Regulatory, Legal, and Covenant Compliance</w:t>
      </w:r>
    </w:p>
    <w:p>
      <w:pPr>
        <w:spacing w:before="40" w:after="120" w:line="276" w:lineRule="auto"/>
        <w:ind w:left="0" w:right="0" w:firstLine="0"/>
        <w:jc w:val="left"/>
      </w:pPr>
      <w:r>
        <w:rPr>
          <w:rFonts w:ascii="Arial" w:hAnsi="Arial"/>
          <w:color w:val="1E1E1E"/>
          <w:sz w:val="21"/>
        </w:rPr>
        <w:t>Leaders must ensure that every distribution complies with complex legal frameworks and contractual obligations to avoid litigation or default.</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Statutory Solvency Assessments:</w:t>
      </w:r>
      <w:r>
        <w:rPr>
          <w:rFonts w:ascii="Arial" w:hAnsi="Arial"/>
          <w:color w:val="1E1E1E"/>
          <w:sz w:val="21"/>
        </w:rPr>
        <w:t xml:space="preserve"> Legal teams perform "capital impairment tests" to ensure that dividends are paid out of legally distributable reserves and not from contributed capital.</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Debt Covenant Monitoring:</w:t>
      </w:r>
      <w:r>
        <w:rPr>
          <w:rFonts w:ascii="Arial" w:hAnsi="Arial"/>
          <w:color w:val="1E1E1E"/>
          <w:sz w:val="21"/>
        </w:rPr>
        <w:t xml:space="preserve"> Management continuously reviews bond indentures to ensure that dividend payments do not breach "restricted payment" clauses or leverage ratios.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Global Tax Optimization:</w:t>
      </w:r>
      <w:r>
        <w:rPr>
          <w:rFonts w:ascii="Arial" w:hAnsi="Arial"/>
          <w:color w:val="1E1E1E"/>
          <w:sz w:val="21"/>
        </w:rPr>
        <w:t xml:space="preserve"> For multinational firms, leaders analyze the tax implications of repatriating foreign earnings to fund domestic dividend payments for shareholders.</w:t>
      </w:r>
    </w:p>
    <w:p>
      <w:pPr>
        <w:keepNext/>
        <w:spacing w:before="180" w:after="60" w:line="276" w:lineRule="auto"/>
        <w:ind w:left="0" w:right="0" w:firstLine="0"/>
        <w:jc w:val="left"/>
      </w:pPr>
      <w:r>
        <w:rPr>
          <w:rFonts w:ascii="Arial" w:hAnsi="Arial"/>
          <w:b/>
          <w:color w:val="111827"/>
          <w:sz w:val="22"/>
        </w:rPr>
        <w:t>4. Optimization of the Retained Earnings Ratio</w:t>
      </w:r>
    </w:p>
    <w:p>
      <w:pPr>
        <w:spacing w:before="40" w:after="120" w:line="276" w:lineRule="auto"/>
        <w:ind w:left="0" w:right="0" w:firstLine="0"/>
        <w:jc w:val="left"/>
      </w:pPr>
      <w:r>
        <w:rPr>
          <w:rFonts w:ascii="Arial" w:hAnsi="Arial"/>
          <w:color w:val="1E1E1E"/>
          <w:sz w:val="21"/>
        </w:rPr>
        <w:t>The decision to retain earnings must be justified by the firm’s ability to generate a return on equity that exceeds the cost of capital.</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Hurdle Rate Alignment:</w:t>
      </w:r>
      <w:r>
        <w:rPr>
          <w:rFonts w:ascii="Arial" w:hAnsi="Arial"/>
          <w:color w:val="1E1E1E"/>
          <w:sz w:val="21"/>
        </w:rPr>
        <w:t xml:space="preserve"> Leaders only retain earnings if the internal rate of return (IRR) on new projects exceeds the return investors could earn elsewhere.</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Growth Lifecycle Calibration:</w:t>
      </w:r>
      <w:r>
        <w:rPr>
          <w:rFonts w:ascii="Arial" w:hAnsi="Arial"/>
          <w:color w:val="1E1E1E"/>
          <w:sz w:val="21"/>
        </w:rPr>
        <w:t xml:space="preserve"> Management adjusts the retention ratio as the firm matures, shifting from 100% retention in the growth phase to higher payouts in maturity.</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Opportunity Cost Evaluation:</w:t>
      </w:r>
      <w:r>
        <w:rPr>
          <w:rFonts w:ascii="Arial" w:hAnsi="Arial"/>
          <w:color w:val="1E1E1E"/>
          <w:sz w:val="21"/>
        </w:rPr>
        <w:t xml:space="preserve"> Boards regularly evaluate whether returning cash to shareholders is more value-accretive than pursuing mergers, acquisitions, or debt retirement.</w:t>
      </w:r>
    </w:p>
    <w:p>
      <w:pPr>
        <w:keepNext/>
        <w:spacing w:before="180" w:after="60" w:line="276" w:lineRule="auto"/>
        <w:ind w:left="0" w:right="0" w:firstLine="0"/>
        <w:jc w:val="left"/>
      </w:pPr>
      <w:r>
        <w:rPr>
          <w:rFonts w:ascii="Arial" w:hAnsi="Arial"/>
          <w:b/>
          <w:color w:val="111827"/>
          <w:sz w:val="22"/>
        </w:rPr>
        <w:t>5. Integration of Supplemental Distribution Mechanisms</w:t>
      </w:r>
    </w:p>
    <w:p>
      <w:pPr>
        <w:spacing w:before="40" w:after="120" w:line="276" w:lineRule="auto"/>
        <w:ind w:left="0" w:right="0" w:firstLine="0"/>
        <w:jc w:val="left"/>
      </w:pPr>
      <w:r>
        <w:rPr>
          <w:rFonts w:ascii="Arial" w:hAnsi="Arial"/>
          <w:color w:val="1E1E1E"/>
          <w:sz w:val="21"/>
        </w:rPr>
        <w:t>Leaders utilize a variety of tools to return capital to shareholders without the rigid commitment of a permanent dividend increase.</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Tactical Share Repurchases:</w:t>
      </w:r>
      <w:r>
        <w:rPr>
          <w:rFonts w:ascii="Arial" w:hAnsi="Arial"/>
          <w:color w:val="1E1E1E"/>
          <w:sz w:val="21"/>
        </w:rPr>
        <w:t xml:space="preserve"> Management uses buybacks to return excess cash when they believe the company’s stock is undervalued, providing a tax-efficient alternative to dividends.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Special or "Extra" Dividends:</w:t>
      </w:r>
      <w:r>
        <w:rPr>
          <w:rFonts w:ascii="Arial" w:hAnsi="Arial"/>
          <w:color w:val="1E1E1E"/>
          <w:sz w:val="21"/>
        </w:rPr>
        <w:t xml:space="preserve"> Firms issue one-time payments following a windfall, such as the sale of a subsidiary, to reward shareholders without raising the baseline dividend.</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Dividend Reinvestment Plans (DRIPs):</w:t>
      </w:r>
      <w:r>
        <w:rPr>
          <w:rFonts w:ascii="Arial" w:hAnsi="Arial"/>
          <w:color w:val="1E1E1E"/>
          <w:sz w:val="21"/>
        </w:rPr>
        <w:t xml:space="preserve"> Companies offer shareholders the option to automatically reinvest dividends into new shares, which helps the firm retain cash while satisfying investor needs.</w:t>
      </w:r>
    </w:p>
    <w:p>
      <w:pPr>
        <w:keepNext/>
        <w:spacing w:before="220" w:after="100" w:line="276" w:lineRule="auto"/>
        <w:ind w:left="0" w:right="0" w:firstLine="0"/>
        <w:jc w:val="left"/>
      </w:pPr>
      <w:r>
        <w:rPr>
          <w:rFonts w:ascii="Arial" w:hAnsi="Arial"/>
          <w:b/>
          <w:color w:val="111827"/>
          <w:sz w:val="25"/>
        </w:rPr>
        <w:t>Conclusion</w:t>
      </w:r>
    </w:p>
    <w:p>
      <w:pPr>
        <w:spacing w:before="40" w:after="120" w:line="276" w:lineRule="auto"/>
        <w:ind w:left="0" w:right="0" w:firstLine="0"/>
        <w:jc w:val="left"/>
      </w:pPr>
      <w:r>
        <w:rPr>
          <w:rFonts w:ascii="Arial" w:hAnsi="Arial"/>
          <w:color w:val="1E1E1E"/>
          <w:sz w:val="21"/>
        </w:rPr>
        <w:t>The formulation and execution of a dividend policy represent one of the most significant strategic decisions a board of directors can make. It is not merely a technical accounting distribution but a profound statement regarding the firm’s financial maturity, its future earning power, and its commitment to shareholder stewardship. By carefully balancing the need for internal reinvestment with the market’s demand for immediate yield, organizations can build a stable and supportive investor base while maintaining the flexibility necessary for long-term growth.</w:t>
      </w:r>
    </w:p>
    <w:p>
      <w:pPr>
        <w:spacing w:before="40" w:after="120" w:line="276" w:lineRule="auto"/>
        <w:ind w:left="0" w:right="0" w:firstLine="0"/>
        <w:jc w:val="left"/>
      </w:pPr>
      <w:r>
        <w:rPr>
          <w:rFonts w:ascii="Arial" w:hAnsi="Arial"/>
          <w:color w:val="1E1E1E"/>
          <w:sz w:val="21"/>
        </w:rPr>
        <w:t>Ultimately, the most successful dividend policies are those that are characterized by consistency, transparency, and a deep alignment with the firm’s overall competitive strategy. Leaders who treat dividend policy as a dynamic tool for signaling and discipline—rather than a static obligation—are better positioned to maximize total shareholder return over the long term. In an ever-evolving global economy, a well-managed dividend policy remains a cornerstone of corporate financial excellence and a primary driver of sustainable market valuation.</w:t>
      </w:r>
    </w:p>
    <w:sectPr w:rsidR="00FC165B" w:rsidRPr="007B5F68" w:rsidSect="00302B84">
      <w:pgSz w:w="12240" w:h="15840"/>
      <w:pgMar w:top="1224" w:right="1296" w:bottom="1224" w:left="1296"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57024"/>
    <w:multiLevelType w:val="hybridMultilevel"/>
    <w:tmpl w:val="E00CE0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CF06E0"/>
    <w:multiLevelType w:val="multilevel"/>
    <w:tmpl w:val="ED987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384AF1"/>
    <w:multiLevelType w:val="multilevel"/>
    <w:tmpl w:val="9780B09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0B66C2"/>
    <w:multiLevelType w:val="multilevel"/>
    <w:tmpl w:val="EFCE5E1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FA7209"/>
    <w:multiLevelType w:val="multilevel"/>
    <w:tmpl w:val="288A9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E83AAC"/>
    <w:multiLevelType w:val="multilevel"/>
    <w:tmpl w:val="450C4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6C50F3"/>
    <w:multiLevelType w:val="multilevel"/>
    <w:tmpl w:val="8D347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CA7495"/>
    <w:multiLevelType w:val="multilevel"/>
    <w:tmpl w:val="A73052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D3561B"/>
    <w:multiLevelType w:val="multilevel"/>
    <w:tmpl w:val="47922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EA78F9"/>
    <w:multiLevelType w:val="multilevel"/>
    <w:tmpl w:val="62F84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FD5789"/>
    <w:multiLevelType w:val="multilevel"/>
    <w:tmpl w:val="B73627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6A7DB1"/>
    <w:multiLevelType w:val="multilevel"/>
    <w:tmpl w:val="71B2149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6E08DA"/>
    <w:multiLevelType w:val="multilevel"/>
    <w:tmpl w:val="A8A07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F71A6D"/>
    <w:multiLevelType w:val="multilevel"/>
    <w:tmpl w:val="F37ED7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3A527D"/>
    <w:multiLevelType w:val="multilevel"/>
    <w:tmpl w:val="87F06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287B79"/>
    <w:multiLevelType w:val="multilevel"/>
    <w:tmpl w:val="2DD4867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F65E65"/>
    <w:multiLevelType w:val="multilevel"/>
    <w:tmpl w:val="186A0C5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77370F"/>
    <w:multiLevelType w:val="multilevel"/>
    <w:tmpl w:val="CCA0CE8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32E42169"/>
    <w:multiLevelType w:val="multilevel"/>
    <w:tmpl w:val="CE900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4FB4838"/>
    <w:multiLevelType w:val="multilevel"/>
    <w:tmpl w:val="94480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AD6066"/>
    <w:multiLevelType w:val="multilevel"/>
    <w:tmpl w:val="03BEE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2A1858"/>
    <w:multiLevelType w:val="multilevel"/>
    <w:tmpl w:val="27DEC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3B0F71"/>
    <w:multiLevelType w:val="multilevel"/>
    <w:tmpl w:val="15BAE9C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7AC05E6"/>
    <w:multiLevelType w:val="multilevel"/>
    <w:tmpl w:val="F346686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8345626"/>
    <w:multiLevelType w:val="multilevel"/>
    <w:tmpl w:val="5A90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E13DAF"/>
    <w:multiLevelType w:val="multilevel"/>
    <w:tmpl w:val="2816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CD17C2"/>
    <w:multiLevelType w:val="multilevel"/>
    <w:tmpl w:val="3FECA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2D51B5"/>
    <w:multiLevelType w:val="multilevel"/>
    <w:tmpl w:val="8CEE0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D62F64"/>
    <w:multiLevelType w:val="multilevel"/>
    <w:tmpl w:val="A4D284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D587708"/>
    <w:multiLevelType w:val="multilevel"/>
    <w:tmpl w:val="6F4292A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D8A739D"/>
    <w:multiLevelType w:val="multilevel"/>
    <w:tmpl w:val="54FA5B2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E8C091C"/>
    <w:multiLevelType w:val="multilevel"/>
    <w:tmpl w:val="2CDC7F1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0D71DE9"/>
    <w:multiLevelType w:val="multilevel"/>
    <w:tmpl w:val="5E92994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4A801C3"/>
    <w:multiLevelType w:val="multilevel"/>
    <w:tmpl w:val="7958C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29363F"/>
    <w:multiLevelType w:val="multilevel"/>
    <w:tmpl w:val="9CEA5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4110C4"/>
    <w:multiLevelType w:val="multilevel"/>
    <w:tmpl w:val="B0983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3C6383"/>
    <w:multiLevelType w:val="multilevel"/>
    <w:tmpl w:val="C8A01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9720D9"/>
    <w:multiLevelType w:val="hybridMultilevel"/>
    <w:tmpl w:val="ADF03E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EBB6B5B"/>
    <w:multiLevelType w:val="multilevel"/>
    <w:tmpl w:val="7F600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5111A3"/>
    <w:multiLevelType w:val="multilevel"/>
    <w:tmpl w:val="98321CB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AC4371F"/>
    <w:multiLevelType w:val="multilevel"/>
    <w:tmpl w:val="B0E61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DB38B8"/>
    <w:multiLevelType w:val="multilevel"/>
    <w:tmpl w:val="5AE204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DC40D7B"/>
    <w:multiLevelType w:val="multilevel"/>
    <w:tmpl w:val="D362EAB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8598518">
    <w:abstractNumId w:val="1"/>
  </w:num>
  <w:num w:numId="2" w16cid:durableId="670528377">
    <w:abstractNumId w:val="28"/>
  </w:num>
  <w:num w:numId="3" w16cid:durableId="1016690764">
    <w:abstractNumId w:val="22"/>
  </w:num>
  <w:num w:numId="4" w16cid:durableId="51125554">
    <w:abstractNumId w:val="31"/>
  </w:num>
  <w:num w:numId="5" w16cid:durableId="1258251590">
    <w:abstractNumId w:val="23"/>
  </w:num>
  <w:num w:numId="6" w16cid:durableId="1258060744">
    <w:abstractNumId w:val="42"/>
  </w:num>
  <w:num w:numId="7" w16cid:durableId="952054237">
    <w:abstractNumId w:val="2"/>
  </w:num>
  <w:num w:numId="8" w16cid:durableId="1391538452">
    <w:abstractNumId w:val="14"/>
  </w:num>
  <w:num w:numId="9" w16cid:durableId="459030562">
    <w:abstractNumId w:val="7"/>
  </w:num>
  <w:num w:numId="10" w16cid:durableId="1821994618">
    <w:abstractNumId w:val="10"/>
  </w:num>
  <w:num w:numId="11" w16cid:durableId="73012113">
    <w:abstractNumId w:val="3"/>
  </w:num>
  <w:num w:numId="12" w16cid:durableId="1258100749">
    <w:abstractNumId w:val="30"/>
  </w:num>
  <w:num w:numId="13" w16cid:durableId="1210992578">
    <w:abstractNumId w:val="32"/>
  </w:num>
  <w:num w:numId="14" w16cid:durableId="1400010011">
    <w:abstractNumId w:val="16"/>
  </w:num>
  <w:num w:numId="15" w16cid:durableId="633416108">
    <w:abstractNumId w:val="37"/>
  </w:num>
  <w:num w:numId="16" w16cid:durableId="1019965587">
    <w:abstractNumId w:val="0"/>
  </w:num>
  <w:num w:numId="17" w16cid:durableId="1263298069">
    <w:abstractNumId w:val="17"/>
  </w:num>
  <w:num w:numId="18" w16cid:durableId="1310014315">
    <w:abstractNumId w:val="41"/>
  </w:num>
  <w:num w:numId="19" w16cid:durableId="1719863394">
    <w:abstractNumId w:val="13"/>
  </w:num>
  <w:num w:numId="20" w16cid:durableId="1310135211">
    <w:abstractNumId w:val="29"/>
  </w:num>
  <w:num w:numId="21" w16cid:durableId="9648127">
    <w:abstractNumId w:val="15"/>
  </w:num>
  <w:num w:numId="22" w16cid:durableId="2106341260">
    <w:abstractNumId w:val="39"/>
  </w:num>
  <w:num w:numId="23" w16cid:durableId="451098979">
    <w:abstractNumId w:val="11"/>
  </w:num>
  <w:num w:numId="24" w16cid:durableId="1061706933">
    <w:abstractNumId w:val="26"/>
  </w:num>
  <w:num w:numId="25" w16cid:durableId="925651870">
    <w:abstractNumId w:val="38"/>
  </w:num>
  <w:num w:numId="26" w16cid:durableId="586840388">
    <w:abstractNumId w:val="4"/>
  </w:num>
  <w:num w:numId="27" w16cid:durableId="1113212369">
    <w:abstractNumId w:val="40"/>
  </w:num>
  <w:num w:numId="28" w16cid:durableId="490341337">
    <w:abstractNumId w:val="34"/>
  </w:num>
  <w:num w:numId="29" w16cid:durableId="167185278">
    <w:abstractNumId w:val="9"/>
  </w:num>
  <w:num w:numId="30" w16cid:durableId="1908833286">
    <w:abstractNumId w:val="6"/>
  </w:num>
  <w:num w:numId="31" w16cid:durableId="856624995">
    <w:abstractNumId w:val="19"/>
  </w:num>
  <w:num w:numId="32" w16cid:durableId="1688360996">
    <w:abstractNumId w:val="27"/>
  </w:num>
  <w:num w:numId="33" w16cid:durableId="609509849">
    <w:abstractNumId w:val="24"/>
  </w:num>
  <w:num w:numId="34" w16cid:durableId="1809325446">
    <w:abstractNumId w:val="8"/>
  </w:num>
  <w:num w:numId="35" w16cid:durableId="1578436602">
    <w:abstractNumId w:val="33"/>
  </w:num>
  <w:num w:numId="36" w16cid:durableId="422796640">
    <w:abstractNumId w:val="20"/>
  </w:num>
  <w:num w:numId="37" w16cid:durableId="2059935866">
    <w:abstractNumId w:val="21"/>
  </w:num>
  <w:num w:numId="38" w16cid:durableId="193154135">
    <w:abstractNumId w:val="18"/>
  </w:num>
  <w:num w:numId="39" w16cid:durableId="511989419">
    <w:abstractNumId w:val="35"/>
  </w:num>
  <w:num w:numId="40" w16cid:durableId="1097678224">
    <w:abstractNumId w:val="36"/>
  </w:num>
  <w:num w:numId="41" w16cid:durableId="1584341188">
    <w:abstractNumId w:val="5"/>
  </w:num>
  <w:num w:numId="42" w16cid:durableId="1088579031">
    <w:abstractNumId w:val="25"/>
  </w:num>
  <w:num w:numId="43" w16cid:durableId="213093407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362"/>
    <w:rsid w:val="00072017"/>
    <w:rsid w:val="00075991"/>
    <w:rsid w:val="00301D1C"/>
    <w:rsid w:val="00302B84"/>
    <w:rsid w:val="00374B7B"/>
    <w:rsid w:val="00467FCC"/>
    <w:rsid w:val="0059074B"/>
    <w:rsid w:val="005D6F6B"/>
    <w:rsid w:val="005F6838"/>
    <w:rsid w:val="006B1362"/>
    <w:rsid w:val="00763FDB"/>
    <w:rsid w:val="007B5F68"/>
    <w:rsid w:val="0095502B"/>
    <w:rsid w:val="00AF19FB"/>
    <w:rsid w:val="00B52A64"/>
    <w:rsid w:val="00BF12AB"/>
    <w:rsid w:val="00CD3C2A"/>
    <w:rsid w:val="00D74422"/>
    <w:rsid w:val="00E912B6"/>
    <w:rsid w:val="00F6060E"/>
    <w:rsid w:val="00F936C5"/>
    <w:rsid w:val="00FC16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6047B"/>
  <w15:chartTrackingRefBased/>
  <w15:docId w15:val="{203352DD-5FD0-48A1-AF77-0F084CFB2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13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13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13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13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13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13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13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13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13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13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13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13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13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13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13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13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13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1362"/>
    <w:rPr>
      <w:rFonts w:eastAsiaTheme="majorEastAsia" w:cstheme="majorBidi"/>
      <w:color w:val="272727" w:themeColor="text1" w:themeTint="D8"/>
    </w:rPr>
  </w:style>
  <w:style w:type="paragraph" w:styleId="Title">
    <w:name w:val="Title"/>
    <w:basedOn w:val="Normal"/>
    <w:next w:val="Normal"/>
    <w:link w:val="TitleChar"/>
    <w:uiPriority w:val="10"/>
    <w:qFormat/>
    <w:rsid w:val="006B13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13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13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13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1362"/>
    <w:pPr>
      <w:spacing w:before="160"/>
      <w:jc w:val="center"/>
    </w:pPr>
    <w:rPr>
      <w:i/>
      <w:iCs/>
      <w:color w:val="404040" w:themeColor="text1" w:themeTint="BF"/>
    </w:rPr>
  </w:style>
  <w:style w:type="character" w:customStyle="1" w:styleId="QuoteChar">
    <w:name w:val="Quote Char"/>
    <w:basedOn w:val="DefaultParagraphFont"/>
    <w:link w:val="Quote"/>
    <w:uiPriority w:val="29"/>
    <w:rsid w:val="006B1362"/>
    <w:rPr>
      <w:i/>
      <w:iCs/>
      <w:color w:val="404040" w:themeColor="text1" w:themeTint="BF"/>
    </w:rPr>
  </w:style>
  <w:style w:type="paragraph" w:styleId="ListParagraph">
    <w:name w:val="List Paragraph"/>
    <w:basedOn w:val="Normal"/>
    <w:uiPriority w:val="34"/>
    <w:qFormat/>
    <w:rsid w:val="006B1362"/>
    <w:pPr>
      <w:ind w:left="720"/>
      <w:contextualSpacing/>
    </w:pPr>
  </w:style>
  <w:style w:type="character" w:styleId="IntenseEmphasis">
    <w:name w:val="Intense Emphasis"/>
    <w:basedOn w:val="DefaultParagraphFont"/>
    <w:uiPriority w:val="21"/>
    <w:qFormat/>
    <w:rsid w:val="006B1362"/>
    <w:rPr>
      <w:i/>
      <w:iCs/>
      <w:color w:val="0F4761" w:themeColor="accent1" w:themeShade="BF"/>
    </w:rPr>
  </w:style>
  <w:style w:type="paragraph" w:styleId="IntenseQuote">
    <w:name w:val="Intense Quote"/>
    <w:basedOn w:val="Normal"/>
    <w:next w:val="Normal"/>
    <w:link w:val="IntenseQuoteChar"/>
    <w:uiPriority w:val="30"/>
    <w:qFormat/>
    <w:rsid w:val="006B13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1362"/>
    <w:rPr>
      <w:i/>
      <w:iCs/>
      <w:color w:val="0F4761" w:themeColor="accent1" w:themeShade="BF"/>
    </w:rPr>
  </w:style>
  <w:style w:type="character" w:styleId="IntenseReference">
    <w:name w:val="Intense Reference"/>
    <w:basedOn w:val="DefaultParagraphFont"/>
    <w:uiPriority w:val="32"/>
    <w:qFormat/>
    <w:rsid w:val="006B1362"/>
    <w:rPr>
      <w:b/>
      <w:bCs/>
      <w:smallCaps/>
      <w:color w:val="0F4761" w:themeColor="accent1" w:themeShade="BF"/>
      <w:spacing w:val="5"/>
    </w:rPr>
  </w:style>
  <w:style w:type="paragraph" w:styleId="NormalWeb">
    <w:name w:val="Normal (Web)"/>
    <w:basedOn w:val="Normal"/>
    <w:uiPriority w:val="99"/>
    <w:semiHidden/>
    <w:unhideWhenUsed/>
    <w:rsid w:val="00FC165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table" w:styleId="TableGrid">
    <w:name w:val="Table Grid"/>
    <w:basedOn w:val="TableNormal"/>
    <w:uiPriority w:val="39"/>
    <w:rsid w:val="007B5F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4</Pages>
  <Words>1156</Words>
  <Characters>6590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Aravinth S</dc:creator>
  <cp:keywords/>
  <dc:description/>
  <cp:lastModifiedBy>Aravinth S</cp:lastModifiedBy>
  <cp:revision>12</cp:revision>
  <dcterms:created xsi:type="dcterms:W3CDTF">2026-08-29T09:07:00Z</dcterms:created>
  <dcterms:modified xsi:type="dcterms:W3CDTF">2026-09-20T16:18:00Z</dcterms:modified>
</cp:coreProperties>
</file>