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11</w:t>
      </w:r>
    </w:p>
    <w:p>
      <w:pPr>
        <w:spacing w:before="0" w:after="240" w:line="288" w:lineRule="auto"/>
        <w:ind w:left="0" w:right="0" w:firstLine="0"/>
        <w:jc w:val="left"/>
        <w:pBdr>
          <w:bottom w:val="single" w:sz="6" w:space="6" w:color="D0D5DD"/>
        </w:pBdr>
      </w:pPr>
      <w:r>
        <w:rPr>
          <w:rFonts w:ascii="Arial" w:hAnsi="Arial"/>
          <w:b/>
          <w:color w:val="111827"/>
          <w:sz w:val="23"/>
        </w:rPr>
        <w:t>Explain the benefits of career planning</w:t>
      </w:r>
    </w:p>
    <w:p>
      <w:pPr>
        <w:spacing w:before="40" w:after="120" w:line="276" w:lineRule="auto"/>
        <w:ind w:left="0" w:right="0" w:firstLine="0"/>
        <w:jc w:val="left"/>
      </w:pPr>
      <w:r>
        <w:rPr>
          <w:rFonts w:ascii="Arial" w:hAnsi="Arial"/>
          <w:color w:val="1E1E1E"/>
          <w:sz w:val="21"/>
        </w:rPr>
        <w:t>Career planning is defined as a deliberate and systematic process through which an individual becomes aware of personal attributes, constraints, opportunities, and consequences, ultimately identifying career-related goals and outlining the developmental tasks required to achieve them (Greenhaus, Callanan, &amp; Godshalk, 2018). From an organizational perspective, it represents a strategic human resource intervention designed to align the idiosyncratic aspirations of the workforce with the structural requirements of the firm. By formalizing the progression of talent, career planning moves beyond simple job placement to address the long-term psychological contract between the employer and the employee, ensuring that human capital is nurtured rather than merely utilized.</w:t>
      </w:r>
    </w:p>
    <w:p>
      <w:pPr>
        <w:spacing w:before="40" w:after="120" w:line="276" w:lineRule="auto"/>
        <w:ind w:left="0" w:right="0" w:firstLine="0"/>
        <w:jc w:val="left"/>
      </w:pPr>
      <w:r>
        <w:rPr>
          <w:rFonts w:ascii="Arial" w:hAnsi="Arial"/>
          <w:color w:val="1E1E1E"/>
          <w:sz w:val="21"/>
        </w:rPr>
        <w:t>In operational terms, career planning functions as an iterative feedback loop that necessitates constant recalibration in response to shifting market dynamics and internal organizational needs. It begins with a comprehensive self-assessment of skills and values, followed by an environmental scan to identify viable pathways for advancement or lateral movement. This process is not a one-time event but a continuous strategy that requires active participation from both the individual, who must own their developmental trajectory, and the organization, which must provide the necessary resources and transparency. When executed effectively, it transforms the workplace from a collection of static roles into a dynamic ecosystem of professional growth and institutional resilience.</w:t>
      </w:r>
    </w:p>
    <w:p>
      <w:pPr>
        <w:keepNext/>
        <w:spacing w:before="220" w:after="100" w:line="276" w:lineRule="auto"/>
        <w:ind w:left="0" w:right="0" w:firstLine="0"/>
        <w:jc w:val="left"/>
      </w:pPr>
      <w:r>
        <w:rPr>
          <w:rFonts w:ascii="Arial" w:hAnsi="Arial"/>
          <w:b/>
          <w:color w:val="111827"/>
          <w:sz w:val="25"/>
        </w:rPr>
        <w:t>Core Pillars of Career Planning</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Strategic Self-Assessment and Competency Mapping:</w:t>
      </w:r>
      <w:r>
        <w:rPr>
          <w:rFonts w:ascii="Arial" w:hAnsi="Arial"/>
          <w:color w:val="1E1E1E"/>
          <w:sz w:val="21"/>
        </w:rPr>
        <w:t xml:space="preserve"> The foundational pillar of career planning involves a rigorous evaluation of an individual’s current skill set, cognitive abilities, and underlying value systems. This goes beyond identifying technical proficiencies to include an analysis of "soft" competencies such as emotional intelligence, leadership potential, and adaptability. By utilizing psychometric tools and 360-degree feedback, individuals can identify gaps between their current performance and the requirements of their desired future roles. This clarity prevents the pursuit of misaligned career paths that lead to burnout or underperformance, ensuring that professional growth is built upon a bedrock of genuine aptitude and personal motivation.</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Environmental Scanning and Market Alignment:</w:t>
      </w:r>
      <w:r>
        <w:rPr>
          <w:rFonts w:ascii="Arial" w:hAnsi="Arial"/>
          <w:color w:val="1E1E1E"/>
          <w:sz w:val="21"/>
        </w:rPr>
        <w:t xml:space="preserve"> This pillar requires a sophisticated understanding of the broader economic landscape and the specific trends impacting one’s industry. Career planning is ineffective if conducted in a vacuum; it must account for the rise of automation, the shift toward remote work, and the emergence of new functional domains. Individuals must analyze which roles are becoming obsolete and which are gaining strategic importance, allowing them to pivot their learning efforts toward "sunrise" skills. For the organization, this pillar ensures that the talent pipeline is stocked with individuals who are prepared for the future of work, thereby mitigating the risks associated with sudden technological disruptions or market shifts.</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Goal Formulation and Actionable Development:</w:t>
      </w:r>
      <w:r>
        <w:rPr>
          <w:rFonts w:ascii="Arial" w:hAnsi="Arial"/>
          <w:color w:val="1E1E1E"/>
          <w:sz w:val="21"/>
        </w:rPr>
        <w:t xml:space="preserve"> The final pillar involves the translation of self-awareness and market insights into specific, measurable, and time-bound professional objectives. This stage requires the creation of a detailed roadmap that includes formal education, certifications, and experiential learning opportunities such as stretch assignments or cross-functional projects. Strategic action planning ensures that career progression is not left to chance or seniority alone but is the result of targeted interventions. By breaking down long-term ambitions into manageable milestones, employees maintain higher levels of motivation, while managers gain a clearer framework for providing coaching and allocating developmental resources.</w:t>
      </w:r>
    </w:p>
    <w:p>
      <w:pPr>
        <w:keepNext/>
        <w:spacing w:before="220" w:after="100" w:line="276" w:lineRule="auto"/>
        <w:ind w:left="0" w:right="0" w:firstLine="0"/>
        <w:jc w:val="left"/>
      </w:pPr>
      <w:r>
        <w:rPr>
          <w:rFonts w:ascii="Arial" w:hAnsi="Arial"/>
          <w:b/>
          <w:color w:val="111827"/>
          <w:sz w:val="25"/>
        </w:rPr>
        <w:t>Importance of Career Planning in Contemporary Business</w:t>
      </w:r>
    </w:p>
    <w:p>
      <w:pPr>
        <w:spacing w:before="40" w:after="120" w:line="276" w:lineRule="auto"/>
        <w:ind w:left="0" w:right="0" w:firstLine="0"/>
        <w:jc w:val="left"/>
      </w:pPr>
      <w:r>
        <w:rPr>
          <w:rFonts w:ascii="Arial" w:hAnsi="Arial"/>
          <w:color w:val="1E1E1E"/>
          <w:sz w:val="21"/>
        </w:rPr>
        <w:t>The integration of career planning into the broader corporate strategy provides several distinct competitive advantages: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Optimization of Talent Retention:</w:t>
      </w:r>
      <w:r>
        <w:rPr>
          <w:rFonts w:ascii="Arial" w:hAnsi="Arial"/>
          <w:color w:val="1E1E1E"/>
          <w:sz w:val="21"/>
        </w:rPr>
        <w:t xml:space="preserve"> Organizations like Adobe have moved away from traditional performance rankings in favor of frequent "Check-in" sessions that focus on long-term career aspirations. This strategy significantly reduces voluntary turnover by demonstrating to high-performing employees that the firm is committed to their professional evolution.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Robust Succession Management:</w:t>
      </w:r>
      <w:r>
        <w:rPr>
          <w:rFonts w:ascii="Arial" w:hAnsi="Arial"/>
          <w:color w:val="1E1E1E"/>
          <w:sz w:val="21"/>
        </w:rPr>
        <w:t xml:space="preserve"> General Electric has historically utilized rigorous career planning frameworks to identify and prepare future leaders years before they are needed in executive roles. This proactive approach ensures organizational continuity and reduces the high costs and cultural risks associated with hiring external candidates for senior leadership positions.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Closing the Internal Skills Gap:</w:t>
      </w:r>
      <w:r>
        <w:rPr>
          <w:rFonts w:ascii="Arial" w:hAnsi="Arial"/>
          <w:color w:val="1E1E1E"/>
          <w:sz w:val="21"/>
        </w:rPr>
        <w:t xml:space="preserve"> Amazon’s "Career Choice" program provides employees with funding for education in high-demand fields, even if those fields are outside the company’s immediate scope. This fosters a culture of continuous learning that keeps the workforce agile and capable of pivoting as the company expands into new sectors like cloud computing and healthcare.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Enhanced Employee Engagement and Productivity:</w:t>
      </w:r>
      <w:r>
        <w:rPr>
          <w:rFonts w:ascii="Arial" w:hAnsi="Arial"/>
          <w:color w:val="1E1E1E"/>
          <w:sz w:val="21"/>
        </w:rPr>
        <w:t xml:space="preserve"> Google encourages "20% time," allowing employees to work on side projects that align with their personal career interests and innovative drives. This alignment between individual passion and corporate tasks leads to higher levels of discretionary effort and has resulted in the creation of flagship products like Gmail and AdSense.</w:t>
      </w:r>
    </w:p>
    <w:p>
      <w:pPr>
        <w:keepNext/>
        <w:spacing w:before="220" w:after="100" w:line="276" w:lineRule="auto"/>
        <w:ind w:left="0" w:right="0" w:firstLine="0"/>
        <w:jc w:val="left"/>
      </w:pPr>
      <w:r>
        <w:rPr>
          <w:rFonts w:ascii="Arial" w:hAnsi="Arial"/>
          <w:b/>
          <w:color w:val="111827"/>
          <w:sz w:val="25"/>
        </w:rPr>
        <w:t>Comparative Analysis: Career Planning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Career Planning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Job Hopping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Traditional Tenure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Gig Economy Model</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Strategic Focus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Long-term alignment of individual goals with organizational needs.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Rapid salary growth through frequent external movements.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Upward mobility based primarily on seniority and loyalty.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Short-term task completion across multiple disparate employers.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Driver</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Mutual developmental investment between employer and employee.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Market demand and individual leverage for immediate gain.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Organizational stability and institutionalized hierarchical structures.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Individual autonomy and specialized skill-based project work.</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Adaptability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encourages continuous upskilling and internal mobility.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Moderate; relies on external market availability of roles.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Low; often constrained by rigid bureaucratic ladders.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Very High; requires constant self-directed skill updates.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Outcome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Sustainable talent pipeline and high institutional knowledge.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Increased external experience but fragmented organizational loyalty.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Stable workforce with potentially stagnant innovation levels.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Flexible labor costs but minimal long-term commitment.</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Career Planning Within Organizations</w:t>
      </w:r>
    </w:p>
    <w:p>
      <w:pPr>
        <w:spacing w:before="40" w:after="120" w:line="276" w:lineRule="auto"/>
        <w:ind w:left="0" w:right="0" w:firstLine="0"/>
        <w:jc w:val="left"/>
      </w:pPr>
      <w:r>
        <w:rPr>
          <w:rFonts w:ascii="Arial" w:hAnsi="Arial"/>
          <w:color w:val="1E1E1E"/>
          <w:sz w:val="21"/>
        </w:rPr>
        <w:t>Leaders who successfully integrate career planning into their management style create a more resilient and motivated workforce:</w:t>
      </w:r>
    </w:p>
    <w:p>
      <w:pPr>
        <w:keepNext/>
        <w:spacing w:before="180" w:after="60" w:line="276" w:lineRule="auto"/>
        <w:ind w:left="0" w:right="0" w:firstLine="0"/>
        <w:jc w:val="left"/>
      </w:pPr>
      <w:r>
        <w:rPr>
          <w:rFonts w:ascii="Arial" w:hAnsi="Arial"/>
          <w:b/>
          <w:color w:val="111827"/>
          <w:sz w:val="22"/>
        </w:rPr>
        <w:t>1. Institutionalizing Individual Development Plans (IDPs)</w:t>
      </w:r>
    </w:p>
    <w:p>
      <w:pPr>
        <w:spacing w:before="40" w:after="120" w:line="276" w:lineRule="auto"/>
        <w:ind w:left="0" w:right="0" w:firstLine="0"/>
        <w:jc w:val="left"/>
      </w:pPr>
      <w:r>
        <w:rPr>
          <w:rFonts w:ascii="Arial" w:hAnsi="Arial"/>
          <w:color w:val="1E1E1E"/>
          <w:sz w:val="21"/>
        </w:rPr>
        <w:t>Leaders must ensure that every employee has a living document that outlines their professional trajectory and the support required to reach it.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Regular Review Cycles:</w:t>
      </w:r>
      <w:r>
        <w:rPr>
          <w:rFonts w:ascii="Arial" w:hAnsi="Arial"/>
          <w:color w:val="1E1E1E"/>
          <w:sz w:val="21"/>
        </w:rPr>
        <w:t xml:space="preserve"> Managers should conduct quarterly discussions focused solely on development rather than current task completion.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Resource Allocation:</w:t>
      </w:r>
      <w:r>
        <w:rPr>
          <w:rFonts w:ascii="Arial" w:hAnsi="Arial"/>
          <w:color w:val="1E1E1E"/>
          <w:sz w:val="21"/>
        </w:rPr>
        <w:t xml:space="preserve"> Leaders must provide the necessary budget and time for employees to pursue the training identified in their IDPs.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Accountability Measures:</w:t>
      </w:r>
      <w:r>
        <w:rPr>
          <w:rFonts w:ascii="Arial" w:hAnsi="Arial"/>
          <w:color w:val="1E1E1E"/>
          <w:sz w:val="21"/>
        </w:rPr>
        <w:t xml:space="preserve"> Both the manager and the employee should be held responsible for the progress made toward developmental milestones.</w:t>
      </w:r>
    </w:p>
    <w:p>
      <w:pPr>
        <w:keepNext/>
        <w:spacing w:before="180" w:after="60" w:line="276" w:lineRule="auto"/>
        <w:ind w:left="0" w:right="0" w:firstLine="0"/>
        <w:jc w:val="left"/>
      </w:pPr>
      <w:r>
        <w:rPr>
          <w:rFonts w:ascii="Arial" w:hAnsi="Arial"/>
          <w:b/>
          <w:color w:val="111827"/>
          <w:sz w:val="22"/>
        </w:rPr>
        <w:t>2. Cultivating a Culture of Mentorship and Sponsorship</w:t>
      </w:r>
    </w:p>
    <w:p>
      <w:pPr>
        <w:spacing w:before="40" w:after="120" w:line="276" w:lineRule="auto"/>
        <w:ind w:left="0" w:right="0" w:firstLine="0"/>
        <w:jc w:val="left"/>
      </w:pPr>
      <w:r>
        <w:rPr>
          <w:rFonts w:ascii="Arial" w:hAnsi="Arial"/>
          <w:color w:val="1E1E1E"/>
          <w:sz w:val="21"/>
        </w:rPr>
        <w:t>Effective leaders recognize that formal training is often less impactful than the wisdom shared through professional relationships.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Structured Mentoring:</w:t>
      </w:r>
      <w:r>
        <w:rPr>
          <w:rFonts w:ascii="Arial" w:hAnsi="Arial"/>
          <w:color w:val="1E1E1E"/>
          <w:sz w:val="21"/>
        </w:rPr>
        <w:t xml:space="preserve"> Implementing programs that pair junior talent with seasoned executives to facilitate the transfer of tacit knowledge.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Active Sponsorship:</w:t>
      </w:r>
      <w:r>
        <w:rPr>
          <w:rFonts w:ascii="Arial" w:hAnsi="Arial"/>
          <w:color w:val="1E1E1E"/>
          <w:sz w:val="21"/>
        </w:rPr>
        <w:t xml:space="preserve"> Leaders should go beyond advice and actively advocate for their subordinates during high-level talent reviews.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Peer-to-Peer Learning:</w:t>
      </w:r>
      <w:r>
        <w:rPr>
          <w:rFonts w:ascii="Arial" w:hAnsi="Arial"/>
          <w:color w:val="1E1E1E"/>
          <w:sz w:val="21"/>
        </w:rPr>
        <w:t xml:space="preserve"> Encouraging "communities of practice" where employees can share skills and insights across different departments.</w:t>
      </w:r>
    </w:p>
    <w:p>
      <w:pPr>
        <w:keepNext/>
        <w:spacing w:before="180" w:after="60" w:line="276" w:lineRule="auto"/>
        <w:ind w:left="0" w:right="0" w:firstLine="0"/>
        <w:jc w:val="left"/>
      </w:pPr>
      <w:r>
        <w:rPr>
          <w:rFonts w:ascii="Arial" w:hAnsi="Arial"/>
          <w:b/>
          <w:color w:val="111827"/>
          <w:sz w:val="22"/>
        </w:rPr>
        <w:t>3. Facilitating Internal Talent Marketplaces</w:t>
      </w:r>
    </w:p>
    <w:p>
      <w:pPr>
        <w:spacing w:before="40" w:after="120" w:line="276" w:lineRule="auto"/>
        <w:ind w:left="0" w:right="0" w:firstLine="0"/>
        <w:jc w:val="left"/>
      </w:pPr>
      <w:r>
        <w:rPr>
          <w:rFonts w:ascii="Arial" w:hAnsi="Arial"/>
          <w:color w:val="1E1E1E"/>
          <w:sz w:val="21"/>
        </w:rPr>
        <w:t>To prevent talent hoarding, leaders must create transparent systems that allow employees to see and apply for roles across the entire organization.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Role Transparency:</w:t>
      </w:r>
      <w:r>
        <w:rPr>
          <w:rFonts w:ascii="Arial" w:hAnsi="Arial"/>
          <w:color w:val="1E1E1E"/>
          <w:sz w:val="21"/>
        </w:rPr>
        <w:t xml:space="preserve"> Utilizing digital platforms to advertise internal openings and the specific competencies required for each.</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Project-Based Mobility:</w:t>
      </w:r>
      <w:r>
        <w:rPr>
          <w:rFonts w:ascii="Arial" w:hAnsi="Arial"/>
          <w:color w:val="1E1E1E"/>
          <w:sz w:val="21"/>
        </w:rPr>
        <w:t xml:space="preserve"> Allowing employees to dedicate a portion of their time to cross-functional teams to gain diverse experience.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Managerial Incentives:</w:t>
      </w:r>
      <w:r>
        <w:rPr>
          <w:rFonts w:ascii="Arial" w:hAnsi="Arial"/>
          <w:color w:val="1E1E1E"/>
          <w:sz w:val="21"/>
        </w:rPr>
        <w:t xml:space="preserve"> Rewarding managers who successfully develop talent that moves on to higher-level roles elsewhere in the firm.</w:t>
      </w:r>
    </w:p>
    <w:p>
      <w:pPr>
        <w:keepNext/>
        <w:spacing w:before="180" w:after="60" w:line="276" w:lineRule="auto"/>
        <w:ind w:left="0" w:right="0" w:firstLine="0"/>
        <w:jc w:val="left"/>
      </w:pPr>
      <w:r>
        <w:rPr>
          <w:rFonts w:ascii="Arial" w:hAnsi="Arial"/>
          <w:b/>
          <w:color w:val="111827"/>
          <w:sz w:val="22"/>
        </w:rPr>
        <w:t>4. Reimagining Performance Management as a Career Dialogue</w:t>
      </w:r>
    </w:p>
    <w:p>
      <w:pPr>
        <w:spacing w:before="40" w:after="120" w:line="276" w:lineRule="auto"/>
        <w:ind w:left="0" w:right="0" w:firstLine="0"/>
        <w:jc w:val="left"/>
      </w:pPr>
      <w:r>
        <w:rPr>
          <w:rFonts w:ascii="Arial" w:hAnsi="Arial"/>
          <w:color w:val="1E1E1E"/>
          <w:sz w:val="21"/>
        </w:rPr>
        <w:t>Leaders should shift the focus of performance reviews from historical critique to future-oriented growth strategies.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Strengths-Based Coaching:</w:t>
      </w:r>
      <w:r>
        <w:rPr>
          <w:rFonts w:ascii="Arial" w:hAnsi="Arial"/>
          <w:color w:val="1E1E1E"/>
          <w:sz w:val="21"/>
        </w:rPr>
        <w:t xml:space="preserve"> Focusing on leveraging an employee’s natural talents rather than obsessing over minor weaknesses.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Gap Analysis:</w:t>
      </w:r>
      <w:r>
        <w:rPr>
          <w:rFonts w:ascii="Arial" w:hAnsi="Arial"/>
          <w:color w:val="1E1E1E"/>
          <w:sz w:val="21"/>
        </w:rPr>
        <w:t xml:space="preserve"> Collaboratively identifying the specific skills needed for the employee’s next desired role within the company.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Alignment of Incentives:</w:t>
      </w:r>
      <w:r>
        <w:rPr>
          <w:rFonts w:ascii="Arial" w:hAnsi="Arial"/>
          <w:color w:val="1E1E1E"/>
          <w:sz w:val="21"/>
        </w:rPr>
        <w:t xml:space="preserve"> Ensuring that bonuses and promotions are tied to both performance and the achievement of developmental goals.</w:t>
      </w:r>
    </w:p>
    <w:p>
      <w:pPr>
        <w:keepNext/>
        <w:spacing w:before="180" w:after="60" w:line="276" w:lineRule="auto"/>
        <w:ind w:left="0" w:right="0" w:firstLine="0"/>
        <w:jc w:val="left"/>
      </w:pPr>
      <w:r>
        <w:rPr>
          <w:rFonts w:ascii="Arial" w:hAnsi="Arial"/>
          <w:b/>
          <w:color w:val="111827"/>
          <w:sz w:val="22"/>
        </w:rPr>
        <w:t>5. Aligning Personal Purpose with Corporate Mission</w:t>
      </w:r>
    </w:p>
    <w:p>
      <w:pPr>
        <w:spacing w:before="40" w:after="120" w:line="276" w:lineRule="auto"/>
        <w:ind w:left="0" w:right="0" w:firstLine="0"/>
        <w:jc w:val="left"/>
      </w:pPr>
      <w:r>
        <w:rPr>
          <w:rFonts w:ascii="Arial" w:hAnsi="Arial"/>
          <w:color w:val="1E1E1E"/>
          <w:sz w:val="21"/>
        </w:rPr>
        <w:t>Leaders must help employees find the intersection between their personal values and the organization’s broader societal impact.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Value Mapping:</w:t>
      </w:r>
      <w:r>
        <w:rPr>
          <w:rFonts w:ascii="Arial" w:hAnsi="Arial"/>
          <w:color w:val="1E1E1E"/>
          <w:sz w:val="21"/>
        </w:rPr>
        <w:t xml:space="preserve"> Conducting workshops that help employees identify their core drivers and how they manifest in their work.</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Meaningful Work Assignments:</w:t>
      </w:r>
      <w:r>
        <w:rPr>
          <w:rFonts w:ascii="Arial" w:hAnsi="Arial"/>
          <w:color w:val="1E1E1E"/>
          <w:sz w:val="21"/>
        </w:rPr>
        <w:t xml:space="preserve"> Connecting daily tasks to the "big picture" of how the company serves its customers and community.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Autonomy and Agency:</w:t>
      </w:r>
      <w:r>
        <w:rPr>
          <w:rFonts w:ascii="Arial" w:hAnsi="Arial"/>
          <w:color w:val="1E1E1E"/>
          <w:sz w:val="21"/>
        </w:rPr>
        <w:t xml:space="preserve"> Providing employees with the freedom to shape their roles in ways that maximize their personal sense of contribution.</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Career planning serves as a vital bridge between individual ambition and organizational efficacy, ensuring that human capital is managed with foresight and precision. By fostering a culture of continuous development and transparent opportunity, firms can secure a loyal, agile, and highly skilled workforce capable of navigating the complexities of the modern economy. Ultimately, the process transforms professional life from a series of disconnected jobs into a coherent and purposeful journey of growth.</w:t>
      </w:r>
    </w:p>
    <w:p>
      <w:pPr>
        <w:spacing w:before="40" w:after="120" w:line="276" w:lineRule="auto"/>
        <w:ind w:left="0" w:right="0" w:firstLine="0"/>
        <w:jc w:val="left"/>
      </w:pPr>
      <w:r>
        <w:rPr>
          <w:rFonts w:ascii="Arial" w:hAnsi="Arial"/>
          <w:color w:val="1E1E1E"/>
          <w:sz w:val="21"/>
        </w:rPr>
        <w:t>The strategic benefits of this approach extend far beyond simple retention, influencing innovation, leadership stability, and overall brand reputation. As the nature of work continues to evolve, the ability to effectively plan and support career trajectories will remain a primary differentiator for successful organizations. Leaders who prioritize these frameworks do not merely fill positions; they build an enduring legacy of talent that sustains the organization’s competitive advantage for the long term.</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