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12</w:t>
      </w:r>
    </w:p>
    <w:p>
      <w:pPr>
        <w:spacing w:before="0" w:after="240" w:line="288" w:lineRule="auto"/>
        <w:ind w:left="0" w:right="0" w:firstLine="0"/>
        <w:jc w:val="left"/>
        <w:pBdr>
          <w:bottom w:val="single" w:sz="6" w:space="6" w:color="D0D5DD"/>
        </w:pBdr>
      </w:pPr>
      <w:r>
        <w:rPr>
          <w:rFonts w:ascii="Arial" w:hAnsi="Arial"/>
          <w:b/>
          <w:color w:val="111827"/>
          <w:sz w:val="23"/>
        </w:rPr>
        <w:t>"Discuss the various types of legal expenses that entrepreneurs may encounter, how they impact the overall financial health of a business, and strategies to manage and mitigate these costs effectively. Provide examples of common legal issues that may arise and outline best practices for minimizing legal expenses."</w:t>
      </w:r>
    </w:p>
    <w:p>
      <w:pPr>
        <w:spacing w:before="40" w:after="120" w:line="276" w:lineRule="auto"/>
        <w:ind w:left="0" w:right="0" w:firstLine="0"/>
        <w:jc w:val="left"/>
      </w:pPr>
      <w:r>
        <w:rPr>
          <w:rFonts w:ascii="Arial" w:hAnsi="Arial"/>
          <w:color w:val="1E1E1E"/>
          <w:sz w:val="21"/>
        </w:rPr>
        <w:t>Legal expenses in the entrepreneurial context are defined as the aggregate financial outlays associated with securing legal counsel, ensuring regulatory compliance, protecting intellectual property, and managing litigation risks throughout the business lifecycle. According to Bagley (2018), legal astute entrepreneurs do not view these costs as mere overhead but as strategic investments in "legal capital" that facilitate value creation and risk mitigation. These expenses encompass a broad spectrum of activities, ranging from the foundational costs of entity formation and governance to the complex expenditures associated with patent filings, employment disputes, and contractual enforcement.</w:t>
      </w:r>
    </w:p>
    <w:p>
      <w:pPr>
        <w:spacing w:before="40" w:after="120" w:line="276" w:lineRule="auto"/>
        <w:ind w:left="0" w:right="0" w:firstLine="0"/>
        <w:jc w:val="left"/>
      </w:pPr>
      <w:r>
        <w:rPr>
          <w:rFonts w:ascii="Arial" w:hAnsi="Arial"/>
          <w:color w:val="1E1E1E"/>
          <w:sz w:val="21"/>
        </w:rPr>
        <w:t>In operational practice, legal expenses function as a critical budgetary variable that can fluctuate significantly based on the industry, the scale of operations, and the complexity of the regulatory environment. For early-stage ventures, these costs are often front-loaded in the form of organizational fees and intellectual property protection, whereas mature enterprises may face recurring costs related to compliance audits and liability defense. Effective management of these expenses requires a transition from reactive crisis management to a proactive legal strategy, ensuring that legal resources are allocated to areas that provide the highest protection and strategic advantage to the firm.</w:t>
      </w:r>
    </w:p>
    <w:p>
      <w:pPr>
        <w:keepNext/>
        <w:spacing w:before="220" w:after="100" w:line="276" w:lineRule="auto"/>
        <w:ind w:left="0" w:right="0" w:firstLine="0"/>
        <w:jc w:val="left"/>
      </w:pPr>
      <w:r>
        <w:rPr>
          <w:rFonts w:ascii="Arial" w:hAnsi="Arial"/>
          <w:b/>
          <w:color w:val="111827"/>
          <w:sz w:val="25"/>
        </w:rPr>
        <w:t>Core Pillars of Legal Expenses in Entrepreneurship</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Structural and Transactional Architecture:</w:t>
      </w:r>
      <w:r>
        <w:rPr>
          <w:rFonts w:ascii="Arial" w:hAnsi="Arial"/>
          <w:color w:val="1E1E1E"/>
          <w:sz w:val="21"/>
        </w:rPr>
        <w:t xml:space="preserve"> This pillar involves the costs associated with the formal establishment of the business entity and the drafting of foundational agreements. Entrepreneurs must navigate the complexities of choosing a legal structure—such as a C-Corporation, LLC, or S-Corporation—each of which carries distinct legal fees and long-term tax implications. Transactional costs further extend to the creation of standardized customer contracts, vendor agreements, and terms of service, which serve as the primary defense against commercial disputes. By investing in robust transactional architecture early, a business reduces the likelihood of "ambiguity litigation," where poorly defined terms lead to costly judicial intervention.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Intellectual Property (IP) and Asset Protection:</w:t>
      </w:r>
      <w:r>
        <w:rPr>
          <w:rFonts w:ascii="Arial" w:hAnsi="Arial"/>
          <w:color w:val="1E1E1E"/>
          <w:sz w:val="21"/>
        </w:rPr>
        <w:t xml:space="preserve"> For many modern startups, the primary value of the firm resides in its intangible assets, necessitating significant expenditure on IP procurement and enforcement. This includes the filing fees for patents, trademarks, and copyrights, as well as the legal fees for conducting freedom-to-operate searches to ensure the venture does not infringe upon existing third-party rights. Beyond mere filing, this pillar encompasses the defensive costs of monitoring the marketplace for infringements and the offensive costs of litigating to protect proprietary technology or brand identity. Failure to adequately fund this pillar can lead to the total loss of competitive advantage if a firm’s core innovation is commoditized or stolen by larger competitors.</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Regulatory Compliance and Human Capital Governance:</w:t>
      </w:r>
      <w:r>
        <w:rPr>
          <w:rFonts w:ascii="Arial" w:hAnsi="Arial"/>
          <w:color w:val="1E1E1E"/>
          <w:sz w:val="21"/>
        </w:rPr>
        <w:t xml:space="preserve"> As businesses scale, they encounter an increasingly dense web of local, state, and federal regulations that require ongoing legal oversight. This includes compliance with labor laws, environmental regulations, data privacy mandates like the CCPA or GDPR, and industry-specific licensing requirements. Legal expenses in this category often involve the development of employee handbooks, the implementation of workplace safety protocols, and the management of equity compensation plans. Mismanagement of this pillar often results in catastrophic financial penalties or class-action lawsuits, making the cost of preventative legal counsel significantly lower than the cost of non-compliance.</w:t>
      </w:r>
    </w:p>
    <w:p>
      <w:pPr>
        <w:keepNext/>
        <w:spacing w:before="220" w:after="100" w:line="276" w:lineRule="auto"/>
        <w:ind w:left="0" w:right="0" w:firstLine="0"/>
        <w:jc w:val="left"/>
      </w:pPr>
      <w:r>
        <w:rPr>
          <w:rFonts w:ascii="Arial" w:hAnsi="Arial"/>
          <w:b/>
          <w:color w:val="111827"/>
          <w:sz w:val="25"/>
        </w:rPr>
        <w:t>Importance of Legal Management in Contemporary Business:</w:t>
      </w:r>
    </w:p>
    <w:p>
      <w:pPr>
        <w:spacing w:before="40" w:after="120" w:line="276" w:lineRule="auto"/>
        <w:ind w:left="0" w:right="0" w:firstLine="0"/>
        <w:jc w:val="left"/>
      </w:pPr>
      <w:r>
        <w:rPr>
          <w:rFonts w:ascii="Arial" w:hAnsi="Arial"/>
          <w:color w:val="1E1E1E"/>
          <w:sz w:val="21"/>
        </w:rPr>
        <w:t>The strategic oversight of legal expenditures is a fundamental determinant of a firm's long-term viability and market valuation: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Liability Limitation:</w:t>
      </w:r>
      <w:r>
        <w:rPr>
          <w:rFonts w:ascii="Arial" w:hAnsi="Arial"/>
          <w:color w:val="1E1E1E"/>
          <w:sz w:val="21"/>
        </w:rPr>
        <w:t xml:space="preserve"> Proactive legal spending allows firms to insulate themselves from personal liability and catastrophic lawsuits, as seen in the rigorous corporate shielding used by technology firms to separate high-risk R&amp;D from core assets.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Enhancing Investor and Stakeholder Confidence:</w:t>
      </w:r>
      <w:r>
        <w:rPr>
          <w:rFonts w:ascii="Arial" w:hAnsi="Arial"/>
          <w:color w:val="1E1E1E"/>
          <w:sz w:val="21"/>
        </w:rPr>
        <w:t xml:space="preserve"> Institutional investors and venture capitalists conduct deep legal due diligence; a startup with "clean" cap tables and fully secured IP rights, such as those maintained by Stripe during its funding rounds, commands a much higher valuation.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Facilitating Scalability and Market Entry:</w:t>
      </w:r>
      <w:r>
        <w:rPr>
          <w:rFonts w:ascii="Arial" w:hAnsi="Arial"/>
          <w:color w:val="1E1E1E"/>
          <w:sz w:val="21"/>
        </w:rPr>
        <w:t xml:space="preserve"> Navigating complex international trade laws and local regulations is essential for global expansion, evidenced by Airbnb’s significant legal investments to harmonize its business model with varying municipal short-term rental laws.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Competitive Positioning through IP Strategy:</w:t>
      </w:r>
      <w:r>
        <w:rPr>
          <w:rFonts w:ascii="Arial" w:hAnsi="Arial"/>
          <w:color w:val="1E1E1E"/>
          <w:sz w:val="21"/>
        </w:rPr>
        <w:t xml:space="preserve"> Dominant market players use legal expenses strategically to create "moats" around their products, similar to how pharmaceutical companies utilize patent thickets to prevent the premature entry of generic competitors.</w:t>
      </w:r>
    </w:p>
    <w:p>
      <w:pPr>
        <w:keepNext/>
        <w:spacing w:before="220" w:after="100" w:line="276" w:lineRule="auto"/>
        <w:ind w:left="0" w:right="0" w:firstLine="0"/>
        <w:jc w:val="left"/>
      </w:pPr>
      <w:r>
        <w:rPr>
          <w:rFonts w:ascii="Arial" w:hAnsi="Arial"/>
          <w:b/>
          <w:color w:val="111827"/>
          <w:sz w:val="25"/>
        </w:rPr>
        <w:t>Comparative Analysis: Legal Management Frameworks vs. Alternative Approaches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Proactive Legal Strategy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Reactive Crisis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In-House Counsel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Fractional/Outsourced Model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 prevention and IP growth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Damage control and litigation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Constant oversight and alignment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Cost-effective specialized advice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Cost Structure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Predictable, recurring budget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Volatile, high-impact spikes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fixed salary and benefits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Variable, per-project fees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Profile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issues identified early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systemic legal failures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deep institutional knowledge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requires active management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Utility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drives business value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drains corporate resources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integrated in operations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focused on specific tasks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Legal Strategy Within Organizations:</w:t>
      </w:r>
    </w:p>
    <w:p>
      <w:pPr>
        <w:spacing w:before="40" w:after="120" w:line="276" w:lineRule="auto"/>
        <w:ind w:left="0" w:right="0" w:firstLine="0"/>
        <w:jc w:val="left"/>
      </w:pPr>
      <w:r>
        <w:rPr>
          <w:rFonts w:ascii="Arial" w:hAnsi="Arial"/>
          <w:color w:val="1E1E1E"/>
          <w:sz w:val="21"/>
        </w:rPr>
        <w:t>Effective leadership involves integrating legal considerations into the core business strategy to optimize expenditure and maximize protection.</w:t>
      </w:r>
    </w:p>
    <w:p>
      <w:pPr>
        <w:keepNext/>
        <w:spacing w:before="180" w:after="60" w:line="276" w:lineRule="auto"/>
        <w:ind w:left="0" w:right="0" w:firstLine="0"/>
        <w:jc w:val="left"/>
      </w:pPr>
      <w:r>
        <w:rPr>
          <w:rFonts w:ascii="Arial" w:hAnsi="Arial"/>
          <w:b/>
          <w:color w:val="111827"/>
          <w:sz w:val="22"/>
        </w:rPr>
        <w:t>1. Standardizing Contractual Ecosystems</w:t>
      </w:r>
    </w:p>
    <w:p>
      <w:pPr>
        <w:spacing w:before="40" w:after="120" w:line="276" w:lineRule="auto"/>
        <w:ind w:left="0" w:right="0" w:firstLine="0"/>
        <w:jc w:val="left"/>
      </w:pPr>
      <w:r>
        <w:rPr>
          <w:rFonts w:ascii="Arial" w:hAnsi="Arial"/>
          <w:color w:val="1E1E1E"/>
          <w:sz w:val="21"/>
        </w:rPr>
        <w:t>Leaders must move away from bespoke legal drafting for every transaction to reduce hourly legal fees and increase operational speed.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Master Service Agreements (MSAs):</w:t>
      </w:r>
      <w:r>
        <w:rPr>
          <w:rFonts w:ascii="Arial" w:hAnsi="Arial"/>
          <w:color w:val="1E1E1E"/>
          <w:sz w:val="21"/>
        </w:rPr>
        <w:t xml:space="preserve"> Developing a robust, one-size-fits-all MSA allows sales teams to close deals without requiring a lawyer for every minor negotiation.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Document Generation:</w:t>
      </w:r>
      <w:r>
        <w:rPr>
          <w:rFonts w:ascii="Arial" w:hAnsi="Arial"/>
          <w:color w:val="1E1E1E"/>
          <w:sz w:val="21"/>
        </w:rPr>
        <w:t xml:space="preserve"> Implementing software that populates legal templates based on pre-approved parameters reduces the need for manual legal review.</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Clause Libraries:</w:t>
      </w:r>
      <w:r>
        <w:rPr>
          <w:rFonts w:ascii="Arial" w:hAnsi="Arial"/>
          <w:color w:val="1E1E1E"/>
          <w:sz w:val="21"/>
        </w:rPr>
        <w:t xml:space="preserve"> Maintaining a repository of "fallback" clauses allows non-legal staff to handle minor contract negotiations within safe, pre-defined legal boundaries.</w:t>
      </w:r>
    </w:p>
    <w:p>
      <w:pPr>
        <w:keepNext/>
        <w:spacing w:before="180" w:after="60" w:line="276" w:lineRule="auto"/>
        <w:ind w:left="0" w:right="0" w:firstLine="0"/>
        <w:jc w:val="left"/>
      </w:pPr>
      <w:r>
        <w:rPr>
          <w:rFonts w:ascii="Arial" w:hAnsi="Arial"/>
          <w:b/>
          <w:color w:val="111827"/>
          <w:sz w:val="22"/>
        </w:rPr>
        <w:t>2. Strategic Intellectual Property Management</w:t>
      </w:r>
    </w:p>
    <w:p>
      <w:pPr>
        <w:spacing w:before="40" w:after="120" w:line="276" w:lineRule="auto"/>
        <w:ind w:left="0" w:right="0" w:firstLine="0"/>
        <w:jc w:val="left"/>
      </w:pPr>
      <w:r>
        <w:rPr>
          <w:rFonts w:ascii="Arial" w:hAnsi="Arial"/>
          <w:color w:val="1E1E1E"/>
          <w:sz w:val="21"/>
        </w:rPr>
        <w:t>Rather than filing for every minor iteration, leaders should prioritize IP spending on assets that provide the highest commercial return.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Patent Landscaping:</w:t>
      </w:r>
      <w:r>
        <w:rPr>
          <w:rFonts w:ascii="Arial" w:hAnsi="Arial"/>
          <w:color w:val="1E1E1E"/>
          <w:sz w:val="21"/>
        </w:rPr>
        <w:t xml:space="preserve"> Conducting thorough searches before filing ensures that legal budgets are not wasted on innovations that are already in the public domain.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Trade Secret Protection:</w:t>
      </w:r>
      <w:r>
        <w:rPr>
          <w:rFonts w:ascii="Arial" w:hAnsi="Arial"/>
          <w:color w:val="1E1E1E"/>
          <w:sz w:val="21"/>
        </w:rPr>
        <w:t xml:space="preserve"> Utilizing non-disclosure agreements (NDAs) and internal security protocols can protect innovations at a fraction of the cost of formal patenting.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Trademark Monitoring Services:</w:t>
      </w:r>
      <w:r>
        <w:rPr>
          <w:rFonts w:ascii="Arial" w:hAnsi="Arial"/>
          <w:color w:val="1E1E1E"/>
          <w:sz w:val="21"/>
        </w:rPr>
        <w:t xml:space="preserve"> Using automated tools to monitor brand infringement allows for early, low-cost "cease and desist" actions before full-scale litigation becomes necessary.</w:t>
      </w:r>
    </w:p>
    <w:p>
      <w:pPr>
        <w:keepNext/>
        <w:spacing w:before="180" w:after="60" w:line="276" w:lineRule="auto"/>
        <w:ind w:left="0" w:right="0" w:firstLine="0"/>
        <w:jc w:val="left"/>
      </w:pPr>
      <w:r>
        <w:rPr>
          <w:rFonts w:ascii="Arial" w:hAnsi="Arial"/>
          <w:b/>
          <w:color w:val="111827"/>
          <w:sz w:val="22"/>
        </w:rPr>
        <w:t>3. Proactive Employment and Compliance Audits</w:t>
      </w:r>
    </w:p>
    <w:p>
      <w:pPr>
        <w:spacing w:before="40" w:after="120" w:line="276" w:lineRule="auto"/>
        <w:ind w:left="0" w:right="0" w:firstLine="0"/>
        <w:jc w:val="left"/>
      </w:pPr>
      <w:r>
        <w:rPr>
          <w:rFonts w:ascii="Arial" w:hAnsi="Arial"/>
          <w:color w:val="1E1E1E"/>
          <w:sz w:val="21"/>
        </w:rPr>
        <w:t>Labor-related legal costs are often the most preventable through consistent internal audits and clear policy communication.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Employee Handbook Optimization:</w:t>
      </w:r>
      <w:r>
        <w:rPr>
          <w:rFonts w:ascii="Arial" w:hAnsi="Arial"/>
          <w:color w:val="1E1E1E"/>
          <w:sz w:val="21"/>
        </w:rPr>
        <w:t xml:space="preserve"> Regularly updating handbooks to reflect changing labor laws prevents wrongful termination and harassment claims.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Worker Classification Reviews:</w:t>
      </w:r>
      <w:r>
        <w:rPr>
          <w:rFonts w:ascii="Arial" w:hAnsi="Arial"/>
          <w:color w:val="1E1E1E"/>
          <w:sz w:val="21"/>
        </w:rPr>
        <w:t xml:space="preserve"> Ensuring that contractors are not misclassified as employees prevents massive back-tax liabilities and legal penalties from the Department of Labor.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Data Privacy Frameworks:</w:t>
      </w:r>
      <w:r>
        <w:rPr>
          <w:rFonts w:ascii="Arial" w:hAnsi="Arial"/>
          <w:color w:val="1E1E1E"/>
          <w:sz w:val="21"/>
        </w:rPr>
        <w:t xml:space="preserve"> Investing in a "privacy by design" approach ensures that legal compliance is baked into the product, avoiding the need for expensive retrofitting later.</w:t>
      </w:r>
    </w:p>
    <w:p>
      <w:pPr>
        <w:keepNext/>
        <w:spacing w:before="180" w:after="60" w:line="276" w:lineRule="auto"/>
        <w:ind w:left="0" w:right="0" w:firstLine="0"/>
        <w:jc w:val="left"/>
      </w:pPr>
      <w:r>
        <w:rPr>
          <w:rFonts w:ascii="Arial" w:hAnsi="Arial"/>
          <w:b/>
          <w:color w:val="111827"/>
          <w:sz w:val="22"/>
        </w:rPr>
        <w:t>4. Utilizing Alternative Dispute Resolution (ADR)</w:t>
      </w:r>
    </w:p>
    <w:p>
      <w:pPr>
        <w:spacing w:before="40" w:after="120" w:line="276" w:lineRule="auto"/>
        <w:ind w:left="0" w:right="0" w:firstLine="0"/>
        <w:jc w:val="left"/>
      </w:pPr>
      <w:r>
        <w:rPr>
          <w:rFonts w:ascii="Arial" w:hAnsi="Arial"/>
          <w:color w:val="1E1E1E"/>
          <w:sz w:val="21"/>
        </w:rPr>
        <w:t>Litigation is a significant drain on capital; leaders should mandate ADR mechanisms in all commercial agreements to control costs.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Mandatory Arbitration Clauses:</w:t>
      </w:r>
      <w:r>
        <w:rPr>
          <w:rFonts w:ascii="Arial" w:hAnsi="Arial"/>
          <w:color w:val="1E1E1E"/>
          <w:sz w:val="21"/>
        </w:rPr>
        <w:t xml:space="preserve"> Including these in contracts ensures that disputes are settled in private, often faster and cheaper than in public courts.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Mediation Provisions:</w:t>
      </w:r>
      <w:r>
        <w:rPr>
          <w:rFonts w:ascii="Arial" w:hAnsi="Arial"/>
          <w:color w:val="1E1E1E"/>
          <w:sz w:val="21"/>
        </w:rPr>
        <w:t xml:space="preserve"> Requiring a period of good-faith mediation before any legal filing can resolve the vast majority of commercial disagreements.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Early Neutral Evaluation:</w:t>
      </w:r>
      <w:r>
        <w:rPr>
          <w:rFonts w:ascii="Arial" w:hAnsi="Arial"/>
          <w:color w:val="1E1E1E"/>
          <w:sz w:val="21"/>
        </w:rPr>
        <w:t xml:space="preserve"> Using a third-party expert to provide a non-binding opinion on a dispute can ground both parties' expectations and lead to quicker settlements.</w:t>
      </w:r>
    </w:p>
    <w:p>
      <w:pPr>
        <w:keepNext/>
        <w:spacing w:before="180" w:after="60" w:line="276" w:lineRule="auto"/>
        <w:ind w:left="0" w:right="0" w:firstLine="0"/>
        <w:jc w:val="left"/>
      </w:pPr>
      <w:r>
        <w:rPr>
          <w:rFonts w:ascii="Arial" w:hAnsi="Arial"/>
          <w:b/>
          <w:color w:val="111827"/>
          <w:sz w:val="22"/>
        </w:rPr>
        <w:t>5. Leveraging Technology and Legal Operations (LegalOps)</w:t>
      </w:r>
    </w:p>
    <w:p>
      <w:pPr>
        <w:spacing w:before="40" w:after="120" w:line="276" w:lineRule="auto"/>
        <w:ind w:left="0" w:right="0" w:firstLine="0"/>
        <w:jc w:val="left"/>
      </w:pPr>
      <w:r>
        <w:rPr>
          <w:rFonts w:ascii="Arial" w:hAnsi="Arial"/>
          <w:color w:val="1E1E1E"/>
          <w:sz w:val="21"/>
        </w:rPr>
        <w:t>Modern entrepreneurs use technology to gain the same legal advantages as large corporations without the associated headcount.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Contract Lifecycle Management (CLM):</w:t>
      </w:r>
      <w:r>
        <w:rPr>
          <w:rFonts w:ascii="Arial" w:hAnsi="Arial"/>
          <w:color w:val="1E1E1E"/>
          <w:sz w:val="21"/>
        </w:rPr>
        <w:t xml:space="preserve"> CLM software tracks expiration dates and renewal terms, preventing legal lapses and missed revenue opportunities.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E-Discovery Tools:</w:t>
      </w:r>
      <w:r>
        <w:rPr>
          <w:rFonts w:ascii="Arial" w:hAnsi="Arial"/>
          <w:color w:val="1E1E1E"/>
          <w:sz w:val="21"/>
        </w:rPr>
        <w:t xml:space="preserve"> Utilizing AI-driven discovery tools during disputes can reduce the thousands of hours lawyers spend manually reviewing documents.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Fractional General Counsel:</w:t>
      </w:r>
      <w:r>
        <w:rPr>
          <w:rFonts w:ascii="Arial" w:hAnsi="Arial"/>
          <w:color w:val="1E1E1E"/>
          <w:sz w:val="21"/>
        </w:rPr>
        <w:t xml:space="preserve"> Hiring experienced attorneys on a part-time or subscription basis provides high-level strategic guidance without the cost of a full-time executive.</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effective management of legal expenses is not merely a task for the finance department but a fundamental strategic competency for the modern entrepreneur. By viewing legal costs as a proactive investment in the firm’s structural integrity, leaders can prevent the catastrophic financial erosion often caused by reactive litigation and regulatory non-compliance. Ultimately, a disciplined approach to legal spending ensures that capital is preserved for innovation and growth rather than being consumed by avoidable disputes.</w:t>
      </w:r>
    </w:p>
    <w:p>
      <w:pPr>
        <w:spacing w:before="40" w:after="120" w:line="276" w:lineRule="auto"/>
        <w:ind w:left="0" w:right="0" w:firstLine="0"/>
        <w:jc w:val="left"/>
      </w:pPr>
      <w:r>
        <w:rPr>
          <w:rFonts w:ascii="Arial" w:hAnsi="Arial"/>
          <w:color w:val="1E1E1E"/>
          <w:sz w:val="21"/>
        </w:rPr>
        <w:t>Furthermore, the integration of legal technology and standardized frameworks allows smaller ventures to compete on a level playing field with established incumbents. As the global regulatory environment becomes increasingly complex, the ability to navigate legal requirements efficiently will remain a primary driver of competitive advantage. Entrepreneurs who master the balance between legal protection and fiscal prudence are best positioned to achieve sustainable, long-term success in the contemporary marketplace.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