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12</w:t>
      </w:r>
    </w:p>
    <w:p>
      <w:pPr>
        <w:spacing w:before="0" w:after="240" w:line="288" w:lineRule="auto"/>
        <w:ind w:left="0" w:right="0" w:firstLine="0"/>
        <w:jc w:val="left"/>
        <w:pBdr>
          <w:bottom w:val="single" w:sz="6" w:space="6" w:color="D0D5DD"/>
        </w:pBdr>
      </w:pPr>
      <w:r>
        <w:rPr>
          <w:rFonts w:ascii="Arial" w:hAnsi="Arial"/>
          <w:b/>
          <w:color w:val="111827"/>
          <w:sz w:val="23"/>
        </w:rPr>
        <w:t>Discuss in brief the Relevance and Irrelevance theories of capital structure.</w:t>
      </w:r>
    </w:p>
    <w:p>
      <w:pPr>
        <w:spacing w:before="40" w:after="120" w:line="276" w:lineRule="auto"/>
        <w:ind w:left="0" w:right="0" w:firstLine="0"/>
        <w:jc w:val="left"/>
      </w:pPr>
      <w:r>
        <w:rPr>
          <w:rFonts w:ascii="Arial" w:hAnsi="Arial"/>
          <w:color w:val="1E1E1E"/>
          <w:sz w:val="21"/>
        </w:rPr>
        <w:t>Capital structure represents the specific mix of debt, equity, and hybrid securities that a corporation utilizes to finance its overall operations and growth initiatives. The theoretical discourse surrounding this mix is dominated by the tension between the Irrelevance Theory, which posits that a firm’s value is independent of its financing choices in a perfect market, and Relevance Theories, which argue that market imperfections necessitate a specific capital arrangement to maximize shareholder wealth. According to the foundational work of Modigliani and Miller (1958), in an environment characterized by the absence of taxes, transaction costs, and information asymmetry, the total value of a firm is determined solely by its earning power and the risk of its underlying assets, rather than the proportion of debt or equity in its capital stack. This theoretical baseline serves as the departure point for modern corporate finance, shifting the focus from the mere mechanics of financing to the impact of real-world frictions on firm valuation.</w:t>
      </w:r>
    </w:p>
    <w:p>
      <w:pPr>
        <w:spacing w:before="40" w:after="120" w:line="276" w:lineRule="auto"/>
        <w:ind w:left="0" w:right="0" w:firstLine="0"/>
        <w:jc w:val="left"/>
      </w:pPr>
      <w:r>
        <w:rPr>
          <w:rFonts w:ascii="Arial" w:hAnsi="Arial"/>
          <w:color w:val="1E1E1E"/>
          <w:sz w:val="21"/>
        </w:rPr>
        <w:t>In practical operational terms, the choice between debt and equity is rarely a matter of indifference, as executives must navigate the trade-offs between tax advantages and financial distress. While the irrelevance proposition provides a vital intellectual framework, contemporary financial managers operate in a "relevance" paradigm where interest payments are tax-deductible and high leverage increases the probability of insolvency. Consequently, firms actively manage their debt-to-equity ratios to signal financial health to investors, lower their weighted average cost of capital (WACC), and maintain enough liquidity to exploit future investment opportunities. This ongoing balancing act ensures that capital structure remains a central pillar of strategic financial planning, influencing everything from dividend policy to long-term capital budgeting.</w:t>
      </w:r>
    </w:p>
    <w:p>
      <w:pPr>
        <w:keepNext/>
        <w:spacing w:before="220" w:after="100" w:line="276" w:lineRule="auto"/>
        <w:ind w:left="0" w:right="0" w:firstLine="0"/>
        <w:jc w:val="left"/>
      </w:pPr>
      <w:r>
        <w:rPr>
          <w:rFonts w:ascii="Arial" w:hAnsi="Arial"/>
          <w:b/>
          <w:color w:val="111827"/>
          <w:sz w:val="25"/>
        </w:rPr>
        <w:t>Core Pillars of Capital Structure Theory</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The Modigliani-Miller Irrelevance Proposition (M&amp;M I):</w:t>
      </w:r>
      <w:r>
        <w:rPr>
          <w:rFonts w:ascii="Arial" w:hAnsi="Arial"/>
          <w:color w:val="1E1E1E"/>
          <w:sz w:val="21"/>
        </w:rPr>
        <w:t xml:space="preserve"> This pillar asserts that under the assumptions of perfect capital markets, the method of financing is irrelevant to the firm's valuation. The core logic relies on the "arbitrage proof," which suggests that if two firms with identical operating risks had different market values due to their capital structures, investors would engage in "homemade leverage" by borrowing on their own account to replicate the firms' returns. This process would continue until the market values of the firms equalized, proving that the value is driven by the left side of the balance sheet (assets) rather than the right side (liabilities and equity).</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The Static Trade-Off Theory of Relevance:</w:t>
      </w:r>
      <w:r>
        <w:rPr>
          <w:rFonts w:ascii="Arial" w:hAnsi="Arial"/>
          <w:color w:val="1E1E1E"/>
          <w:sz w:val="21"/>
        </w:rPr>
        <w:t xml:space="preserve"> This pillar represents the primary counter-argument to irrelevance by introducing corporate taxes and bankruptcy costs into the equation. It posits that there is an "optimal" capital structure achieved when the marginal benefit of debt—specifically the corporate tax shield on interest—is exactly offset by the marginal increase in the present value of potential financial distress costs. Firms with stable cash flows and tangible assets can afford higher debt levels to capture tax benefits, whereas volatile or high-growth firms must rely more heavily on equity to avoid the prohibitive costs associated with default and reorganization.</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Information Asymmetry and the Pecking Order Framework:</w:t>
      </w:r>
      <w:r>
        <w:rPr>
          <w:rFonts w:ascii="Arial" w:hAnsi="Arial"/>
          <w:color w:val="1E1E1E"/>
          <w:sz w:val="21"/>
        </w:rPr>
        <w:t xml:space="preserve"> This pillar suggests that capital structure relevance is driven by the information gap between internal managers and external investors. Instead of seeking a target debt-equity ratio, firms follow a hierarchy of financing preferences: internal retained earnings are preferred first, followed by low-risk debt, and finally, the issuance of new equity as a last resort. This theory explains why profitable firms often have lower debt ratios; they simply do not need to seek external financing, thereby avoiding the "negative signal" that an equity issuance often sends to the market regarding the firm's perceived overvaluation.</w:t>
      </w:r>
    </w:p>
    <w:p>
      <w:pPr>
        <w:keepNext/>
        <w:spacing w:before="220" w:after="100" w:line="276" w:lineRule="auto"/>
        <w:ind w:left="0" w:right="0" w:firstLine="0"/>
        <w:jc w:val="left"/>
      </w:pPr>
      <w:r>
        <w:rPr>
          <w:rFonts w:ascii="Arial" w:hAnsi="Arial"/>
          <w:b/>
          <w:color w:val="111827"/>
          <w:sz w:val="25"/>
        </w:rPr>
        <w:t>Importance of Capital Structure in Contemporary Business</w:t>
      </w:r>
    </w:p>
    <w:p>
      <w:pPr>
        <w:spacing w:before="40" w:after="120" w:line="276" w:lineRule="auto"/>
        <w:ind w:left="0" w:right="0" w:firstLine="0"/>
        <w:jc w:val="left"/>
      </w:pPr>
      <w:r>
        <w:rPr>
          <w:rFonts w:ascii="Arial" w:hAnsi="Arial"/>
          <w:color w:val="1E1E1E"/>
          <w:sz w:val="21"/>
        </w:rPr>
        <w:t>The strategic configuration of a firm's capital stack is a critical determinant of its competitive positioning and long-term viability: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Optimization of the Weighted Average Cost of Capital (WACC):</w:t>
      </w:r>
      <w:r>
        <w:rPr>
          <w:rFonts w:ascii="Arial" w:hAnsi="Arial"/>
          <w:color w:val="1E1E1E"/>
          <w:sz w:val="21"/>
        </w:rPr>
        <w:t xml:space="preserve"> By finding the ideal mix of low-cost debt and higher-cost equity, firms can minimize their overall cost of funding, which directly increases the Net Present Value (NPV) of all future projects. For example, Apple Inc. transitioned from a cash-rich, zero-debt position to issuing billions in bonds to fund share repurchases, effectively lowering its WACC while returning value to shareholders.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Exploitation of Corporate Tax Shields:</w:t>
      </w:r>
      <w:r>
        <w:rPr>
          <w:rFonts w:ascii="Arial" w:hAnsi="Arial"/>
          <w:color w:val="1E1E1E"/>
          <w:sz w:val="21"/>
        </w:rPr>
        <w:t xml:space="preserve"> Debt financing allows companies to reduce their taxable income through interest deductions, providing a government-subsidized boost to cash flows. Major telecommunications firms like AT&amp;T utilize high levels of debt to finance infrastructure, relying on the predictable nature of their utility-like cash flows to safely capture these tax advantages.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Signaling and Market Credibility:</w:t>
      </w:r>
      <w:r>
        <w:rPr>
          <w:rFonts w:ascii="Arial" w:hAnsi="Arial"/>
          <w:color w:val="1E1E1E"/>
          <w:sz w:val="21"/>
        </w:rPr>
        <w:t xml:space="preserve"> The choice of financing serves as a powerful communication tool to the investment community regarding management's confidence in future performance. When Netflix issues debt to fund content production, it signals to the market that it expects future subscriber growth to comfortably cover interest obligations, whereas a sudden equity offering might be interpreted as a sign of financial weakness.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Discipline and Mitigation of Agency Costs:</w:t>
      </w:r>
      <w:r>
        <w:rPr>
          <w:rFonts w:ascii="Arial" w:hAnsi="Arial"/>
          <w:color w:val="1E1E1E"/>
          <w:sz w:val="21"/>
        </w:rPr>
        <w:t xml:space="preserve"> High levels of debt can act as a disciplinary mechanism for management by reducing the amount of "free cash flow" available for wasteful or empire-building expenditures. Leveraged buyouts (LBOs) often use this strategy to force operational efficiencies, as the mandatory interest payments leave little room for managerial inefficiency or non-essential corporate spending.</w:t>
      </w:r>
    </w:p>
    <w:p>
      <w:pPr>
        <w:keepNext/>
        <w:spacing w:before="220" w:after="100" w:line="276" w:lineRule="auto"/>
        <w:ind w:left="0" w:right="0" w:firstLine="0"/>
        <w:jc w:val="left"/>
      </w:pPr>
      <w:r>
        <w:rPr>
          <w:rFonts w:ascii="Arial" w:hAnsi="Arial"/>
          <w:b/>
          <w:color w:val="111827"/>
          <w:sz w:val="25"/>
        </w:rPr>
        <w:t>Comparative Analysis: Capital Structure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M&amp;M (No Taxes)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M&amp;M (With Taxes)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Trade-off Theory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Pecking Order Theory</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Market Assumptions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Perfect markets with no transaction costs.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Markets with corporate taxes only.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Markets with taxes and distress costs.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Markets with high information asymmetry.</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Tax Impact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Debt provides no tax benefit.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Interest provides significant tax shields.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Tax benefits are balanced against risks.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Internal funds are preferred over debt.</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Optimal Structure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No optimal structure exists for firms.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Firms should utilize 100% debt financing.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 specific point where marginal costs meet.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No target ratio; follows a hierarchy.</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Firm Value Driver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Underlying asset risk and earning power.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Tax savings from interest increase value.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Efficient management of the debt-tax trade-off.</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Minimizing adverse selection and financing friction.</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Capital Structure Within Organizations</w:t>
      </w:r>
    </w:p>
    <w:p>
      <w:pPr>
        <w:spacing w:before="40" w:after="120" w:line="276" w:lineRule="auto"/>
        <w:ind w:left="0" w:right="0" w:firstLine="0"/>
        <w:jc w:val="left"/>
      </w:pPr>
      <w:r>
        <w:rPr>
          <w:rFonts w:ascii="Arial" w:hAnsi="Arial"/>
          <w:color w:val="1E1E1E"/>
          <w:sz w:val="21"/>
        </w:rPr>
        <w:t>Financial leaders must move beyond theoretical abstractions to implement capital structures that support the specific operational needs and risk profiles of their organizations:</w:t>
      </w:r>
    </w:p>
    <w:p>
      <w:pPr>
        <w:keepNext/>
        <w:spacing w:before="180" w:after="60" w:line="276" w:lineRule="auto"/>
        <w:ind w:left="0" w:right="0" w:firstLine="0"/>
        <w:jc w:val="left"/>
      </w:pPr>
      <w:r>
        <w:rPr>
          <w:rFonts w:ascii="Arial" w:hAnsi="Arial"/>
          <w:b/>
          <w:color w:val="111827"/>
          <w:sz w:val="22"/>
        </w:rPr>
        <w:t>1. Dynamic Capital Structure Rebalancing</w:t>
      </w:r>
    </w:p>
    <w:p>
      <w:pPr>
        <w:spacing w:before="40" w:after="120" w:line="276" w:lineRule="auto"/>
        <w:ind w:left="0" w:right="0" w:firstLine="0"/>
        <w:jc w:val="left"/>
      </w:pPr>
      <w:r>
        <w:rPr>
          <w:rFonts w:ascii="Arial" w:hAnsi="Arial"/>
          <w:color w:val="1E1E1E"/>
          <w:sz w:val="21"/>
        </w:rPr>
        <w:t>Leaders must treat the debt-equity mix as a fluid target that responds to changes in the macroeconomic environment and firm-specific growth phases.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Proactive Refinancing:</w:t>
      </w:r>
      <w:r>
        <w:rPr>
          <w:rFonts w:ascii="Arial" w:hAnsi="Arial"/>
          <w:color w:val="1E1E1E"/>
          <w:sz w:val="21"/>
        </w:rPr>
        <w:t xml:space="preserve"> CFOs monitor interest rate cycles to replace high-cost debt with lower-coupon obligations before market conditions tighten.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Equity Buffering:</w:t>
      </w:r>
      <w:r>
        <w:rPr>
          <w:rFonts w:ascii="Arial" w:hAnsi="Arial"/>
          <w:color w:val="1E1E1E"/>
          <w:sz w:val="21"/>
        </w:rPr>
        <w:t xml:space="preserve"> During periods of high valuation, leaders may issue equity to build a "war chest" for future acquisitions or downturns.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Covenant Management:</w:t>
      </w:r>
      <w:r>
        <w:rPr>
          <w:rFonts w:ascii="Arial" w:hAnsi="Arial"/>
          <w:color w:val="1E1E1E"/>
          <w:sz w:val="21"/>
        </w:rPr>
        <w:t xml:space="preserve"> Management ensures that debt levels remain within limits that prevent restrictive covenants from stifling operational flexibility.</w:t>
      </w:r>
    </w:p>
    <w:p>
      <w:pPr>
        <w:keepNext/>
        <w:spacing w:before="180" w:after="60" w:line="276" w:lineRule="auto"/>
        <w:ind w:left="0" w:right="0" w:firstLine="0"/>
        <w:jc w:val="left"/>
      </w:pPr>
      <w:r>
        <w:rPr>
          <w:rFonts w:ascii="Arial" w:hAnsi="Arial"/>
          <w:b/>
          <w:color w:val="111827"/>
          <w:sz w:val="22"/>
        </w:rPr>
        <w:t>2. Strategic Use of Tax Shielding</w:t>
      </w:r>
    </w:p>
    <w:p>
      <w:pPr>
        <w:spacing w:before="40" w:after="120" w:line="276" w:lineRule="auto"/>
        <w:ind w:left="0" w:right="0" w:firstLine="0"/>
        <w:jc w:val="left"/>
      </w:pPr>
      <w:r>
        <w:rPr>
          <w:rFonts w:ascii="Arial" w:hAnsi="Arial"/>
          <w:color w:val="1E1E1E"/>
          <w:sz w:val="21"/>
        </w:rPr>
        <w:t>Organizations maximize the "interest tax shield" to enhance the total value available to all security holders while maintaining solvency.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Jurisdictional Optimization:</w:t>
      </w:r>
      <w:r>
        <w:rPr>
          <w:rFonts w:ascii="Arial" w:hAnsi="Arial"/>
          <w:color w:val="1E1E1E"/>
          <w:sz w:val="21"/>
        </w:rPr>
        <w:t xml:space="preserve"> Global firms allocate debt to high-tax jurisdictions to maximize the value of interest deductions against local profits.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Debt Capacity Assessment:</w:t>
      </w:r>
      <w:r>
        <w:rPr>
          <w:rFonts w:ascii="Arial" w:hAnsi="Arial"/>
          <w:color w:val="1E1E1E"/>
          <w:sz w:val="21"/>
        </w:rPr>
        <w:t xml:space="preserve"> Leaders use rigorous stress-testing to determine the maximum amount of debt the firm can carry without risking its credit rating.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Hybrid Instrument Utilization:</w:t>
      </w:r>
      <w:r>
        <w:rPr>
          <w:rFonts w:ascii="Arial" w:hAnsi="Arial"/>
          <w:color w:val="1E1E1E"/>
          <w:sz w:val="21"/>
        </w:rPr>
        <w:t xml:space="preserve"> Firms employ convertible bonds to gain the tax benefits of debt initially while allowing for eventual conversion to equity.</w:t>
      </w:r>
    </w:p>
    <w:p>
      <w:pPr>
        <w:keepNext/>
        <w:spacing w:before="180" w:after="60" w:line="276" w:lineRule="auto"/>
        <w:ind w:left="0" w:right="0" w:firstLine="0"/>
        <w:jc w:val="left"/>
      </w:pPr>
      <w:r>
        <w:rPr>
          <w:rFonts w:ascii="Arial" w:hAnsi="Arial"/>
          <w:b/>
          <w:color w:val="111827"/>
          <w:sz w:val="22"/>
        </w:rPr>
        <w:t>3. Managing Information Asymmetry and Signaling</w:t>
      </w:r>
    </w:p>
    <w:p>
      <w:pPr>
        <w:spacing w:before="40" w:after="120" w:line="276" w:lineRule="auto"/>
        <w:ind w:left="0" w:right="0" w:firstLine="0"/>
        <w:jc w:val="left"/>
      </w:pPr>
      <w:r>
        <w:rPr>
          <w:rFonts w:ascii="Arial" w:hAnsi="Arial"/>
          <w:color w:val="1E1E1E"/>
          <w:sz w:val="21"/>
        </w:rPr>
        <w:t>Executive teams carefully time their entry into capital markets to manage investor perceptions and avoid the "lemons problem" associated with new issues.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Preference for Retained Earnings:</w:t>
      </w:r>
      <w:r>
        <w:rPr>
          <w:rFonts w:ascii="Arial" w:hAnsi="Arial"/>
          <w:color w:val="1E1E1E"/>
          <w:sz w:val="21"/>
        </w:rPr>
        <w:t xml:space="preserve"> Leaders prioritize the internal reinvestment of profits to avoid the scrutiny and costs of external capital markets.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Debt as a Quality Signal:</w:t>
      </w:r>
      <w:r>
        <w:rPr>
          <w:rFonts w:ascii="Arial" w:hAnsi="Arial"/>
          <w:color w:val="1E1E1E"/>
          <w:sz w:val="21"/>
        </w:rPr>
        <w:t xml:space="preserve"> Issuing long-term debt at favorable rates is used to demonstrate to the market that the firm is "investment grade."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Share Repurchase Programs:</w:t>
      </w:r>
      <w:r>
        <w:rPr>
          <w:rFonts w:ascii="Arial" w:hAnsi="Arial"/>
          <w:color w:val="1E1E1E"/>
          <w:sz w:val="21"/>
        </w:rPr>
        <w:t xml:space="preserve"> Using excess cash or debt to buy back shares signals to the market that management believes the stock is undervalued.</w:t>
      </w:r>
    </w:p>
    <w:p>
      <w:pPr>
        <w:keepNext/>
        <w:spacing w:before="180" w:after="60" w:line="276" w:lineRule="auto"/>
        <w:ind w:left="0" w:right="0" w:firstLine="0"/>
        <w:jc w:val="left"/>
      </w:pPr>
      <w:r>
        <w:rPr>
          <w:rFonts w:ascii="Arial" w:hAnsi="Arial"/>
          <w:b/>
          <w:color w:val="111827"/>
          <w:sz w:val="22"/>
        </w:rPr>
        <w:t>4. Aligning Incentives to Mitigate Agency Costs</w:t>
      </w:r>
    </w:p>
    <w:p>
      <w:pPr>
        <w:spacing w:before="40" w:after="120" w:line="276" w:lineRule="auto"/>
        <w:ind w:left="0" w:right="0" w:firstLine="0"/>
        <w:jc w:val="left"/>
      </w:pPr>
      <w:r>
        <w:rPr>
          <w:rFonts w:ascii="Arial" w:hAnsi="Arial"/>
          <w:color w:val="1E1E1E"/>
          <w:sz w:val="21"/>
        </w:rPr>
        <w:t>Capital structure is used as a governance tool to ensure that the interests of managers are closely aligned with those of the shareholders.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Debt-Induced Discipline:</w:t>
      </w:r>
      <w:r>
        <w:rPr>
          <w:rFonts w:ascii="Arial" w:hAnsi="Arial"/>
          <w:color w:val="1E1E1E"/>
          <w:sz w:val="21"/>
        </w:rPr>
        <w:t xml:space="preserve"> Managers utilize debt to commit the firm to a schedule of cash outflows, preventing the waste of excess capital.</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Equity-Based Compensation:</w:t>
      </w:r>
      <w:r>
        <w:rPr>
          <w:rFonts w:ascii="Arial" w:hAnsi="Arial"/>
          <w:color w:val="1E1E1E"/>
          <w:sz w:val="21"/>
        </w:rPr>
        <w:t xml:space="preserve"> To balance the risk of high leverage, leaders often receive stock options that reward long-term value creation over short-term gains.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Stakeholder Communication:</w:t>
      </w:r>
      <w:r>
        <w:rPr>
          <w:rFonts w:ascii="Arial" w:hAnsi="Arial"/>
          <w:color w:val="1E1E1E"/>
          <w:sz w:val="21"/>
        </w:rPr>
        <w:t xml:space="preserve"> Transparent reporting on leverage ratios helps reassure creditors and equity holders that the firm is not taking excessive risks.</w:t>
      </w:r>
    </w:p>
    <w:p>
      <w:pPr>
        <w:keepNext/>
        <w:spacing w:before="180" w:after="60" w:line="276" w:lineRule="auto"/>
        <w:ind w:left="0" w:right="0" w:firstLine="0"/>
        <w:jc w:val="left"/>
      </w:pPr>
      <w:r>
        <w:rPr>
          <w:rFonts w:ascii="Arial" w:hAnsi="Arial"/>
          <w:b/>
          <w:color w:val="111827"/>
          <w:sz w:val="22"/>
        </w:rPr>
        <w:t>5. Maintaining Financial Flexibility and Resilience</w:t>
      </w:r>
    </w:p>
    <w:p>
      <w:pPr>
        <w:spacing w:before="40" w:after="120" w:line="276" w:lineRule="auto"/>
        <w:ind w:left="0" w:right="0" w:firstLine="0"/>
        <w:jc w:val="left"/>
      </w:pPr>
      <w:r>
        <w:rPr>
          <w:rFonts w:ascii="Arial" w:hAnsi="Arial"/>
          <w:color w:val="1E1E1E"/>
          <w:sz w:val="21"/>
        </w:rPr>
        <w:t>Leaders ensure the firm retains "dry powder" to capitalize on unexpected opportunities or to survive prolonged periods of market volatility.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Liquidity Reservoirs:</w:t>
      </w:r>
      <w:r>
        <w:rPr>
          <w:rFonts w:ascii="Arial" w:hAnsi="Arial"/>
          <w:color w:val="1E1E1E"/>
          <w:sz w:val="21"/>
        </w:rPr>
        <w:t xml:space="preserve"> Maintaining a portion of the capital structure in highly liquid assets allows for immediate response to competitive threats.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Staggered Debt Maturities:</w:t>
      </w:r>
      <w:r>
        <w:rPr>
          <w:rFonts w:ascii="Arial" w:hAnsi="Arial"/>
          <w:color w:val="1E1E1E"/>
          <w:sz w:val="21"/>
        </w:rPr>
        <w:t xml:space="preserve"> CFOs structure debt so that not all obligations come due at once, reducing the risk of a "liquidity crunch" during a crisis.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Unused Borrowing Capacity:</w:t>
      </w:r>
      <w:r>
        <w:rPr>
          <w:rFonts w:ascii="Arial" w:hAnsi="Arial"/>
          <w:color w:val="1E1E1E"/>
          <w:sz w:val="21"/>
        </w:rPr>
        <w:t xml:space="preserve"> Successful firms often maintain lower debt levels than "optimal" theory suggests to ensure they can borrow quickly if needed.</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debate between the irrelevance and relevance theories of capital structure underscores the complexity of modern financial management. While the Modigliani-Miller theorem provides the essential insight that value is fundamentally created by a firm’s assets and operations, the introduction of taxes, bankruptcy costs, and information asymmetry proves that financing choices are of paramount importance. In the real world, the capital structure is not merely a passive reflection of historical financing but a strategic tool used to lower costs and signal strength.</w:t>
      </w:r>
    </w:p>
    <w:p>
      <w:pPr>
        <w:spacing w:before="40" w:after="120" w:line="276" w:lineRule="auto"/>
        <w:ind w:left="0" w:right="0" w:firstLine="0"/>
        <w:jc w:val="left"/>
      </w:pPr>
      <w:r>
        <w:rPr>
          <w:rFonts w:ascii="Arial" w:hAnsi="Arial"/>
          <w:color w:val="1E1E1E"/>
          <w:sz w:val="21"/>
        </w:rPr>
        <w:t>Ultimately, the most successful organizations are those that can bridge the gap between these theoretical frameworks and the practical realities of the marketplace. By balancing the tax advantages of debt against the necessity of financial flexibility, leaders can create a robust capital stack that supports sustainable growth. Capital structure remains a dynamic element of corporate strategy, requiring constant calibration to ensure it continues to serve the ultimate goal of maximizing long-term shareholder value.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