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13</w:t>
      </w:r>
    </w:p>
    <w:p>
      <w:pPr>
        <w:spacing w:before="0" w:after="240" w:line="288" w:lineRule="auto"/>
        <w:ind w:left="0" w:right="0" w:firstLine="0"/>
        <w:jc w:val="left"/>
        <w:pBdr>
          <w:bottom w:val="single" w:sz="6" w:space="6" w:color="D0D5DD"/>
        </w:pBdr>
      </w:pPr>
      <w:r>
        <w:rPr>
          <w:rFonts w:ascii="Arial" w:hAnsi="Arial"/>
          <w:b/>
          <w:color w:val="111827"/>
          <w:sz w:val="23"/>
        </w:rPr>
        <w:t>Discuss the concept of informal capital in entrepreneurship, including its sources, advantages, disadvantages, and its role in the early stages of a business. How does informal capital compare to formal sources of financing such as venture capital and bank loans? Illustrate your answer with examples and provide a detailed analysis of how informal capital impacts the growth and sustainability of startups.</w:t>
      </w:r>
    </w:p>
    <w:p>
      <w:pPr>
        <w:spacing w:before="40" w:after="120" w:line="276" w:lineRule="auto"/>
        <w:ind w:left="0" w:right="0" w:firstLine="0"/>
        <w:jc w:val="left"/>
      </w:pPr>
      <w:r>
        <w:rPr>
          <w:rFonts w:ascii="Arial" w:hAnsi="Arial"/>
          <w:color w:val="1E1E1E"/>
          <w:sz w:val="21"/>
        </w:rPr>
        <w:t>Informal capital in entrepreneurship refers to the financial resources sourced from an entrepreneur’s immediate social network, including family, friends, and personal acquaintances, rather than through regulated institutional channels. As defined by Bruton et al. (2015), informal capital represents the "relational wealth" that bridges the gap between an entrepreneur’s initial vision and the attainment of formal market legitimacy. It functions as a critical mechanism for resource mobilization when traditional financial intermediaries remain inaccessible due to high risk profiles, information asymmetry, or the lack of a proven operational track record.</w:t>
      </w:r>
    </w:p>
    <w:p>
      <w:pPr>
        <w:spacing w:before="40" w:after="120" w:line="276" w:lineRule="auto"/>
        <w:ind w:left="0" w:right="0" w:firstLine="0"/>
        <w:jc w:val="left"/>
      </w:pPr>
      <w:r>
        <w:rPr>
          <w:rFonts w:ascii="Arial" w:hAnsi="Arial"/>
          <w:color w:val="1E1E1E"/>
          <w:sz w:val="21"/>
        </w:rPr>
        <w:t>In practice, this capital manifests as "love money," personal savings, or informal micro-loans provided by individuals who prioritize interpersonal trust over collateralized security. Unlike institutional investors who conduct rigorous due diligence, informal providers often base their investment decisions on the entrepreneur's character and the perceived viability of the concept. This operational reality creates a unique environment where the boundaries between professional business development and personal relationships are frequently blurred, necessitating a high degree of transparency and careful expectation management to ensure long-term stability.</w:t>
      </w:r>
    </w:p>
    <w:p>
      <w:pPr>
        <w:keepNext/>
        <w:spacing w:before="220" w:after="100" w:line="276" w:lineRule="auto"/>
        <w:ind w:left="0" w:right="0" w:firstLine="0"/>
        <w:jc w:val="left"/>
      </w:pPr>
      <w:r>
        <w:rPr>
          <w:rFonts w:ascii="Arial" w:hAnsi="Arial"/>
          <w:b/>
          <w:color w:val="111827"/>
          <w:sz w:val="25"/>
        </w:rPr>
        <w:t>Core Pillars of Informal Capital</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Relational Trust and Social Embeddedness:</w:t>
      </w:r>
      <w:r>
        <w:rPr>
          <w:rFonts w:ascii="Arial" w:hAnsi="Arial"/>
          <w:color w:val="1E1E1E"/>
          <w:sz w:val="21"/>
        </w:rPr>
        <w:t xml:space="preserve"> The primary pillar of informal capital is the reliance on existing social ties, which significantly lowers transaction costs associated with formal financial due diligence. Because the investor already possesses knowledge of the entrepreneur’s work ethic and integrity, the need for complex legal contracts or exhaustive financial auditing is often bypassed. This inherent trust serves as a stabilizing force, allowing the startup to secure immediate liquidity during the pre-revenue phase when formal lenders would perceive the venture as too speculative to warrant a loan.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Flexibility and Patient Capital:</w:t>
      </w:r>
      <w:r>
        <w:rPr>
          <w:rFonts w:ascii="Arial" w:hAnsi="Arial"/>
          <w:color w:val="1E1E1E"/>
          <w:sz w:val="21"/>
        </w:rPr>
        <w:t xml:space="preserve"> Informal capital provides a distinct advantage through its lack of rigid repayment schedules or aggressive equity dilution requirements. Unlike venture capital, which demands specific exit horizons and rapid scaling, informal investors are often content with "patient capital" that allows the business to pivot or iterate without the pressure of immediate financial performance milestones. This flexibility empowers founders to prioritize long-term sustainability and product-market fit over short-term profitability, providing the necessary breathing room to refine business models in volatile markets.</w:t>
      </w:r>
    </w:p>
    <w:p>
      <w:pPr>
        <w:keepNext/>
        <w:spacing w:before="220" w:after="100" w:line="276" w:lineRule="auto"/>
        <w:ind w:left="0" w:right="0" w:firstLine="0"/>
        <w:jc w:val="left"/>
      </w:pPr>
      <w:r>
        <w:rPr>
          <w:rFonts w:ascii="Arial" w:hAnsi="Arial"/>
          <w:b/>
          <w:color w:val="111827"/>
          <w:sz w:val="25"/>
        </w:rPr>
        <w:t>Importance of Informal Capital in Contemporary Business</w:t>
      </w:r>
    </w:p>
    <w:p>
      <w:pPr>
        <w:spacing w:before="40" w:after="120" w:line="276" w:lineRule="auto"/>
        <w:ind w:left="0" w:right="0" w:firstLine="0"/>
        <w:jc w:val="left"/>
      </w:pPr>
      <w:r>
        <w:rPr>
          <w:rFonts w:ascii="Arial" w:hAnsi="Arial"/>
          <w:color w:val="1E1E1E"/>
          <w:sz w:val="21"/>
        </w:rPr>
        <w:t>The strategic utility of informal capital is defined by its role as the foundational bedrock for organizational survival:</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Bridging the Early-Stage Funding Gap:</w:t>
      </w:r>
      <w:r>
        <w:rPr>
          <w:rFonts w:ascii="Arial" w:hAnsi="Arial"/>
          <w:color w:val="1E1E1E"/>
          <w:sz w:val="21"/>
        </w:rPr>
        <w:t xml:space="preserve"> Many startups fail before reaching the institutional funding stage because they lack the assets required for bank loans. For example, Airbnb founders utilized personal credit cards and informal loans from family to sustain operations during their initial, non-revenue-generating period before securing professional seed funding.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Mitigating Information Asymmetry:</w:t>
      </w:r>
      <w:r>
        <w:rPr>
          <w:rFonts w:ascii="Arial" w:hAnsi="Arial"/>
          <w:color w:val="1E1E1E"/>
          <w:sz w:val="21"/>
        </w:rPr>
        <w:t xml:space="preserve"> Informal investors possess deep, contextual knowledge of the entrepreneur’s capabilities, effectively neutralizing the uncertainty that deters traditional banks. When a local business owner receives an interest-free loan from a community member, the transaction is sustained by social reputation rather than formal credit scoring.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Accelerating Speed to Market:</w:t>
      </w:r>
      <w:r>
        <w:rPr>
          <w:rFonts w:ascii="Arial" w:hAnsi="Arial"/>
          <w:color w:val="1E1E1E"/>
          <w:sz w:val="21"/>
        </w:rPr>
        <w:t xml:space="preserve"> By bypassing the months-long due diligence processes of venture capital firms, entrepreneurs can deploy capital immediately to capture fleeting market opportunities. This agility was instrumental for early-stage software developers who utilized personal savings to finalize prototypes before competitors could enter the space.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Fostering Organizational Resilience:</w:t>
      </w:r>
      <w:r>
        <w:rPr>
          <w:rFonts w:ascii="Arial" w:hAnsi="Arial"/>
          <w:color w:val="1E1E1E"/>
          <w:sz w:val="21"/>
        </w:rPr>
        <w:t xml:space="preserve"> The informal nature of these relationships allows for more collaborative problem-solving and emotional support during business crises. When a startup faces a liquidity crunch, informal investors are more likely to offer extensions or non-monetary support rather than initiating aggressive collection actions.</w:t>
      </w:r>
    </w:p>
    <w:p>
      <w:pPr>
        <w:keepNext/>
        <w:spacing w:before="220" w:after="100" w:line="276" w:lineRule="auto"/>
        <w:ind w:left="0" w:right="0" w:firstLine="0"/>
        <w:jc w:val="left"/>
      </w:pPr>
      <w:r>
        <w:rPr>
          <w:rFonts w:ascii="Arial" w:hAnsi="Arial"/>
          <w:b/>
          <w:color w:val="111827"/>
          <w:sz w:val="25"/>
        </w:rPr>
        <w:t>Comparative Analysis: Informal Capital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Informal Capital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Bank Loans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Venture Capital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Angel Syndicates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Cost of Capital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(often interest-free)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(interest + fees)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Extremely High (equity)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(equity/interest)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Due Diligence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Minimal (relational trust)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Rigorous (collateral based)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Exhaustive (metric based)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(experience based)</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Control/Governance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Minimal interference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Covenants/restrictions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Board seat requirements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Advisory involvement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Repayment Terms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Flexible/Informal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Fixed/Contractual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Exit-driven (IPO/Sale)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Equity-based growth</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Informal Capital Within Organizations</w:t>
      </w:r>
    </w:p>
    <w:p>
      <w:pPr>
        <w:spacing w:before="40" w:after="120" w:line="276" w:lineRule="auto"/>
        <w:ind w:left="0" w:right="0" w:firstLine="0"/>
        <w:jc w:val="left"/>
      </w:pPr>
      <w:r>
        <w:rPr>
          <w:rFonts w:ascii="Arial" w:hAnsi="Arial"/>
          <w:color w:val="1E1E1E"/>
          <w:sz w:val="21"/>
        </w:rPr>
        <w:t>Effective management of informal capital requires a disciplined approach to balancing social obligations with professional corporate governance:</w:t>
      </w:r>
    </w:p>
    <w:p>
      <w:pPr>
        <w:keepNext/>
        <w:spacing w:before="180" w:after="60" w:line="276" w:lineRule="auto"/>
        <w:ind w:left="0" w:right="0" w:firstLine="0"/>
        <w:jc w:val="left"/>
      </w:pPr>
      <w:r>
        <w:rPr>
          <w:rFonts w:ascii="Arial" w:hAnsi="Arial"/>
          <w:b/>
          <w:color w:val="111827"/>
          <w:sz w:val="22"/>
        </w:rPr>
        <w:t>1. Formalizing Informal Agreements</w:t>
      </w:r>
    </w:p>
    <w:p>
      <w:pPr>
        <w:spacing w:before="40" w:after="120" w:line="276" w:lineRule="auto"/>
        <w:ind w:left="0" w:right="0" w:firstLine="0"/>
        <w:jc w:val="left"/>
      </w:pPr>
      <w:r>
        <w:rPr>
          <w:rFonts w:ascii="Arial" w:hAnsi="Arial"/>
          <w:color w:val="1E1E1E"/>
          <w:sz w:val="21"/>
        </w:rPr>
        <w:t>Entrepreneurs must transition informal arrangements into professional documentation to prevent future disputes.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Clear Documentation:</w:t>
      </w:r>
      <w:r>
        <w:rPr>
          <w:rFonts w:ascii="Arial" w:hAnsi="Arial"/>
          <w:color w:val="1E1E1E"/>
          <w:sz w:val="21"/>
        </w:rPr>
        <w:t xml:space="preserve"> Draft simple but legally binding promissory notes that specify repayment terms to avoid misunderstandings.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Equity Transparency:</w:t>
      </w:r>
      <w:r>
        <w:rPr>
          <w:rFonts w:ascii="Arial" w:hAnsi="Arial"/>
          <w:color w:val="1E1E1E"/>
          <w:sz w:val="21"/>
        </w:rPr>
        <w:t xml:space="preserve"> Clearly define the equity stakes provided to informal investors to prevent confusion during future funding rounds.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Communication Cadence:</w:t>
      </w:r>
      <w:r>
        <w:rPr>
          <w:rFonts w:ascii="Arial" w:hAnsi="Arial"/>
          <w:color w:val="1E1E1E"/>
          <w:sz w:val="21"/>
        </w:rPr>
        <w:t xml:space="preserve"> Establish regular reporting cycles, even for informal backers, to maintain professional boundaries and investor confidence.</w:t>
      </w:r>
    </w:p>
    <w:p>
      <w:pPr>
        <w:keepNext/>
        <w:spacing w:before="180" w:after="60" w:line="276" w:lineRule="auto"/>
        <w:ind w:left="0" w:right="0" w:firstLine="0"/>
        <w:jc w:val="left"/>
      </w:pPr>
      <w:r>
        <w:rPr>
          <w:rFonts w:ascii="Arial" w:hAnsi="Arial"/>
          <w:b/>
          <w:color w:val="111827"/>
          <w:sz w:val="22"/>
        </w:rPr>
        <w:t>2. Strategic Segmentation of Capital</w:t>
      </w:r>
    </w:p>
    <w:p>
      <w:pPr>
        <w:spacing w:before="40" w:after="120" w:line="276" w:lineRule="auto"/>
        <w:ind w:left="0" w:right="0" w:firstLine="0"/>
        <w:jc w:val="left"/>
      </w:pPr>
      <w:r>
        <w:rPr>
          <w:rFonts w:ascii="Arial" w:hAnsi="Arial"/>
          <w:color w:val="1E1E1E"/>
          <w:sz w:val="21"/>
        </w:rPr>
        <w:t>Leaders should categorize different types of capital to ensure they are used for the most appropriate business functions.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Operational Usage:</w:t>
      </w:r>
      <w:r>
        <w:rPr>
          <w:rFonts w:ascii="Arial" w:hAnsi="Arial"/>
          <w:color w:val="1E1E1E"/>
          <w:sz w:val="21"/>
        </w:rPr>
        <w:t xml:space="preserve"> Reserve informal capital for essential R&amp;D or initial overhead rather than non-essential scaling costs.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Cost Mapping:</w:t>
      </w:r>
      <w:r>
        <w:rPr>
          <w:rFonts w:ascii="Arial" w:hAnsi="Arial"/>
          <w:color w:val="1E1E1E"/>
          <w:sz w:val="21"/>
        </w:rPr>
        <w:t xml:space="preserve"> Prioritize the repayment of informal loans to preserve social capital for future emergencies.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Allocation:</w:t>
      </w:r>
      <w:r>
        <w:rPr>
          <w:rFonts w:ascii="Arial" w:hAnsi="Arial"/>
          <w:color w:val="1E1E1E"/>
          <w:sz w:val="21"/>
        </w:rPr>
        <w:t xml:space="preserve"> Use informal funds to reach milestones that increase the valuation of the firm for future institutional rounds.</w:t>
      </w:r>
    </w:p>
    <w:p>
      <w:pPr>
        <w:keepNext/>
        <w:spacing w:before="180" w:after="60" w:line="276" w:lineRule="auto"/>
        <w:ind w:left="0" w:right="0" w:firstLine="0"/>
        <w:jc w:val="left"/>
      </w:pPr>
      <w:r>
        <w:rPr>
          <w:rFonts w:ascii="Arial" w:hAnsi="Arial"/>
          <w:b/>
          <w:color w:val="111827"/>
          <w:sz w:val="22"/>
        </w:rPr>
        <w:t>3. Managing Relationship Boundaries</w:t>
      </w:r>
    </w:p>
    <w:p>
      <w:pPr>
        <w:spacing w:before="40" w:after="120" w:line="276" w:lineRule="auto"/>
        <w:ind w:left="0" w:right="0" w:firstLine="0"/>
        <w:jc w:val="left"/>
      </w:pPr>
      <w:r>
        <w:rPr>
          <w:rFonts w:ascii="Arial" w:hAnsi="Arial"/>
          <w:color w:val="1E1E1E"/>
          <w:sz w:val="21"/>
        </w:rPr>
        <w:t>Maintaining professional distance is essential to ensure that personal relationships do not collapse under financial pressure.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Setting Expectations:</w:t>
      </w:r>
      <w:r>
        <w:rPr>
          <w:rFonts w:ascii="Arial" w:hAnsi="Arial"/>
          <w:color w:val="1E1E1E"/>
          <w:sz w:val="21"/>
        </w:rPr>
        <w:t xml:space="preserve"> Communicate the risks of business failure clearly to family and friends before accepting their financial support.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Professional Reporting:</w:t>
      </w:r>
      <w:r>
        <w:rPr>
          <w:rFonts w:ascii="Arial" w:hAnsi="Arial"/>
          <w:color w:val="1E1E1E"/>
          <w:sz w:val="21"/>
        </w:rPr>
        <w:t xml:space="preserve"> Treat informal investors as professional stakeholders by providing periodic, objective updates on company performance.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Conflict Mitigation:</w:t>
      </w:r>
      <w:r>
        <w:rPr>
          <w:rFonts w:ascii="Arial" w:hAnsi="Arial"/>
          <w:color w:val="1E1E1E"/>
          <w:sz w:val="21"/>
        </w:rPr>
        <w:t xml:space="preserve"> Implement a structured process for handling disagreements to ensure that business decisions remain objective rather than emotional.</w:t>
      </w:r>
    </w:p>
    <w:p>
      <w:pPr>
        <w:keepNext/>
        <w:spacing w:before="180" w:after="60" w:line="276" w:lineRule="auto"/>
        <w:ind w:left="0" w:right="0" w:firstLine="0"/>
        <w:jc w:val="left"/>
      </w:pPr>
      <w:r>
        <w:rPr>
          <w:rFonts w:ascii="Arial" w:hAnsi="Arial"/>
          <w:b/>
          <w:color w:val="111827"/>
          <w:sz w:val="22"/>
        </w:rPr>
        <w:t>4. Transitioning to Formal Financing</w:t>
      </w:r>
    </w:p>
    <w:p>
      <w:pPr>
        <w:spacing w:before="40" w:after="120" w:line="276" w:lineRule="auto"/>
        <w:ind w:left="0" w:right="0" w:firstLine="0"/>
        <w:jc w:val="left"/>
      </w:pPr>
      <w:r>
        <w:rPr>
          <w:rFonts w:ascii="Arial" w:hAnsi="Arial"/>
          <w:color w:val="1E1E1E"/>
          <w:sz w:val="21"/>
        </w:rPr>
        <w:t>The goal of leveraging informal capital is to reach a stage where professional funding becomes accessible.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Milestone Achievement:</w:t>
      </w:r>
      <w:r>
        <w:rPr>
          <w:rFonts w:ascii="Arial" w:hAnsi="Arial"/>
          <w:color w:val="1E1E1E"/>
          <w:sz w:val="21"/>
        </w:rPr>
        <w:t xml:space="preserve"> Use informal capital to achieve specific KPIs that demonstrate business viability to venture capitalists.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Credit Building:</w:t>
      </w:r>
      <w:r>
        <w:rPr>
          <w:rFonts w:ascii="Arial" w:hAnsi="Arial"/>
          <w:color w:val="1E1E1E"/>
          <w:sz w:val="21"/>
        </w:rPr>
        <w:t xml:space="preserve"> Utilize initial financial activities to establish a credit history that supports future institutional bank lending.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Scaling:</w:t>
      </w:r>
      <w:r>
        <w:rPr>
          <w:rFonts w:ascii="Arial" w:hAnsi="Arial"/>
          <w:color w:val="1E1E1E"/>
          <w:sz w:val="21"/>
        </w:rPr>
        <w:t xml:space="preserve"> Prepare the business structure for the rigorous governance requirements that accompany formal venture capital investment.</w:t>
      </w:r>
    </w:p>
    <w:p>
      <w:pPr>
        <w:keepNext/>
        <w:spacing w:before="180" w:after="60" w:line="276" w:lineRule="auto"/>
        <w:ind w:left="0" w:right="0" w:firstLine="0"/>
        <w:jc w:val="left"/>
      </w:pPr>
      <w:r>
        <w:rPr>
          <w:rFonts w:ascii="Arial" w:hAnsi="Arial"/>
          <w:b/>
          <w:color w:val="111827"/>
          <w:sz w:val="22"/>
        </w:rPr>
        <w:t>5. Exit and Repayment Strategy</w:t>
      </w:r>
    </w:p>
    <w:p>
      <w:pPr>
        <w:spacing w:before="40" w:after="120" w:line="276" w:lineRule="auto"/>
        <w:ind w:left="0" w:right="0" w:firstLine="0"/>
        <w:jc w:val="left"/>
      </w:pPr>
      <w:r>
        <w:rPr>
          <w:rFonts w:ascii="Arial" w:hAnsi="Arial"/>
          <w:color w:val="1E1E1E"/>
          <w:sz w:val="21"/>
        </w:rPr>
        <w:t>A clear plan for retiring informal debt is vital for protecting the entrepreneur's social network.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Repayment Priority:</w:t>
      </w:r>
      <w:r>
        <w:rPr>
          <w:rFonts w:ascii="Arial" w:hAnsi="Arial"/>
          <w:color w:val="1E1E1E"/>
          <w:sz w:val="21"/>
        </w:rPr>
        <w:t xml:space="preserve"> Make the repayment of informal capital a high priority once the business generates consistent positive cash flow.</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Equity Buybacks:</w:t>
      </w:r>
      <w:r>
        <w:rPr>
          <w:rFonts w:ascii="Arial" w:hAnsi="Arial"/>
          <w:color w:val="1E1E1E"/>
          <w:sz w:val="21"/>
        </w:rPr>
        <w:t xml:space="preserve"> Offer informal investors the option to exit their position once the company reaches a valuation that justifies a buyout.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Long-term Stewardship:</w:t>
      </w:r>
      <w:r>
        <w:rPr>
          <w:rFonts w:ascii="Arial" w:hAnsi="Arial"/>
          <w:color w:val="1E1E1E"/>
          <w:sz w:val="21"/>
        </w:rPr>
        <w:t xml:space="preserve"> Maintain the relationship with early informal backers as mentors or advisors, regardless of their financial involvement.</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Informal capital serves as the essential catalyst for early-stage ventures, providing the necessary liquidity to overcome the "valley of death" where formal institutional support is unavailable. By leveraging relational trust, entrepreneurs gain the flexibility required to iterate on business models without the immediate pressures of equity dilution or rigid debt covenants.</w:t>
      </w:r>
    </w:p>
    <w:p>
      <w:pPr>
        <w:spacing w:before="40" w:after="120" w:line="276" w:lineRule="auto"/>
        <w:ind w:left="0" w:right="0" w:firstLine="0"/>
        <w:jc w:val="left"/>
      </w:pPr>
      <w:r>
        <w:rPr>
          <w:rFonts w:ascii="Arial" w:hAnsi="Arial"/>
          <w:color w:val="1E1E1E"/>
          <w:sz w:val="21"/>
        </w:rPr>
        <w:t>Ultimately, the successful utilization of informal capital depends on the entrepreneur’s ability to transition from relational reliance to professional financial management as the business matures. While informal sources provide the initial momentum for growth, long-term sustainability necessitates a strategic shift toward formal financing to ensure institutional credibility and scalable governance.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