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13</w:t>
      </w:r>
    </w:p>
    <w:p>
      <w:pPr>
        <w:spacing w:before="0" w:after="240" w:line="288" w:lineRule="auto"/>
        <w:ind w:left="0" w:right="0" w:firstLine="0"/>
        <w:jc w:val="left"/>
        <w:pBdr>
          <w:bottom w:val="single" w:sz="6" w:space="6" w:color="D0D5DD"/>
        </w:pBdr>
      </w:pPr>
      <w:r>
        <w:rPr>
          <w:rFonts w:ascii="Arial" w:hAnsi="Arial"/>
          <w:b/>
          <w:color w:val="111827"/>
          <w:sz w:val="23"/>
        </w:rPr>
        <w:t>Give the significance of working capital management.</w:t>
      </w:r>
    </w:p>
    <w:p>
      <w:pPr>
        <w:spacing w:before="40" w:after="120" w:line="276" w:lineRule="auto"/>
        <w:ind w:left="0" w:right="0" w:firstLine="0"/>
        <w:jc w:val="left"/>
      </w:pPr>
      <w:r>
        <w:rPr>
          <w:rFonts w:ascii="Arial" w:hAnsi="Arial"/>
          <w:color w:val="1E1E1E"/>
          <w:sz w:val="21"/>
        </w:rPr>
        <w:t>Working capital management (WCM) is defined as the functional area of corporate finance that involves managing the relationship between a firm's short-term assets and its short-term liabilities to ensure that the organization is able to continue its operations and has sufficient cash flow to satisfy both maturing short-term debt and upcoming operational expenses (Brigham &amp; Houston, 2019). At its core, WCM seeks to maintain an optimal balance between the various components of working capital—cash, marketable securities, receivables, and inventory—against current liabilities such as accounts payable and short-term debt. By focusing on the "net" aspect of these accounts, financial managers can assess the liquidity position of the firm, ensuring that the entity remains solvent while simultaneously maximizing the efficiency of its capital allocation. This discipline is not merely a clerical exercise in accounting but a strategic necessity that dictates the firm's ability to survive unexpected market contractions and capitalize on sudden growth opportunities.</w:t>
      </w:r>
    </w:p>
    <w:p>
      <w:pPr>
        <w:spacing w:before="40" w:after="120" w:line="276" w:lineRule="auto"/>
        <w:ind w:left="0" w:right="0" w:firstLine="0"/>
        <w:jc w:val="left"/>
      </w:pPr>
      <w:r>
        <w:rPr>
          <w:rFonts w:ascii="Arial" w:hAnsi="Arial"/>
          <w:color w:val="1E1E1E"/>
          <w:sz w:val="21"/>
        </w:rPr>
        <w:t>In operational practice, working capital management functions as the circulatory system of a business, dictating the speed and efficiency with which resources are converted into realized revenue. It requires a continuous monitoring of the cash conversion cycle, which measures the time elapsed between the initial outlay of cash for raw materials and the eventual receipt of cash from customers. Effective management involves a delicate synchronization of procurement, production, and collection cycles to minimize the amount of capital "trapped" in non-earning assets. When this synchronization is achieved, the firm reduces its reliance on external financing, thereby lowering interest costs and improving its overall creditworthiness in the eyes of lenders and investors. Conversely, a failure to manage these short-term flows can lead to a "liquidity crunch," where even a fundamentally profitable company may face bankruptcy because its wealth is tied up in illiquid inventory or uncollected debts.</w:t>
      </w:r>
    </w:p>
    <w:p>
      <w:pPr>
        <w:keepNext/>
        <w:spacing w:before="220" w:after="100" w:line="276" w:lineRule="auto"/>
        <w:ind w:left="0" w:right="0" w:firstLine="0"/>
        <w:jc w:val="left"/>
      </w:pPr>
      <w:r>
        <w:rPr>
          <w:rFonts w:ascii="Arial" w:hAnsi="Arial"/>
          <w:b/>
          <w:color w:val="111827"/>
          <w:sz w:val="25"/>
        </w:rPr>
        <w:t>Core Pillars of Working Capital Management</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The Liquidity-Profitability Trade-off:</w:t>
      </w:r>
      <w:r>
        <w:rPr>
          <w:rFonts w:ascii="Arial" w:hAnsi="Arial"/>
          <w:color w:val="1E1E1E"/>
          <w:sz w:val="21"/>
        </w:rPr>
        <w:t xml:space="preserve"> The primary theoretical pillar of working capital management is the inherent tension between maintaining high levels of liquidity and achieving maximum profitability. A firm that holds excessive cash or inventory minimizes the risk of insolvency and stockouts, but it simultaneously incurs an opportunity cost because those funds are not invested in higher-yielding long-term projects or capital assets. Conversely, an aggressive strategy that minimizes current assets to boost the Return on Assets (ROA) may leave the firm vulnerable to sudden market shifts or disruptions in the supply chain. Successful management requires finding a "risk-return frontier" where the firm maintains just enough liquidity to meet its obligations without diluting the returns generated for shareholders.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The Dynamics of the Cash Conversion Cycle (CCC):</w:t>
      </w:r>
      <w:r>
        <w:rPr>
          <w:rFonts w:ascii="Arial" w:hAnsi="Arial"/>
          <w:color w:val="1E1E1E"/>
          <w:sz w:val="21"/>
        </w:rPr>
        <w:t xml:space="preserve"> This pillar focuses on the temporal dimension of capital, specifically the duration for which a dollar is invested in the production and sales process before it returns as cash. The CCC is comprised of the Inventory Conversion Period, the Receivables Collection Period, and the Payables Deferral Period. Management aims to shorten this cycle by accelerating inventory turnover and debt collection while strategically extending the time taken to pay suppliers without damaging credit reputations. A shorter CCC implies a more efficient firm that can fund its own growth internally, whereas a lengthening cycle indicates operational inefficiencies that may eventually require expensive external borrowing to sustain.</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The Financing Mix and Hedging Approach:</w:t>
      </w:r>
      <w:r>
        <w:rPr>
          <w:rFonts w:ascii="Arial" w:hAnsi="Arial"/>
          <w:color w:val="1E1E1E"/>
          <w:sz w:val="21"/>
        </w:rPr>
        <w:t xml:space="preserve"> This dimension involves the strategic decision of how to fund the fluctuating and permanent components of current assets. The "hedging" or "maturity matching" approach suggests that seasonal or temporary fluctuations in current assets should be financed with short-term debt, while the permanent portion of working capital—the minimum level of assets required to stay in business—should be funded with long-term debt or equity. Financial managers must decide between a conservative approach, which uses more long-term financing to reduce risk, or an aggressive approach, which utilizes cheaper but riskier short-term debt. This choice dictates the firm's sensitivity to interest rate volatility and its overall financial stability during periods of credit tightening.</w:t>
      </w:r>
    </w:p>
    <w:p>
      <w:pPr>
        <w:keepNext/>
        <w:spacing w:before="220" w:after="100" w:line="276" w:lineRule="auto"/>
        <w:ind w:left="0" w:right="0" w:firstLine="0"/>
        <w:jc w:val="left"/>
      </w:pPr>
      <w:r>
        <w:rPr>
          <w:rFonts w:ascii="Arial" w:hAnsi="Arial"/>
          <w:b/>
          <w:color w:val="111827"/>
          <w:sz w:val="25"/>
        </w:rPr>
        <w:t>Importance of Working Capital Management in Contemporary Business</w:t>
      </w:r>
    </w:p>
    <w:p>
      <w:pPr>
        <w:spacing w:before="40" w:after="120" w:line="276" w:lineRule="auto"/>
        <w:ind w:left="0" w:right="0" w:firstLine="0"/>
        <w:jc w:val="left"/>
      </w:pPr>
      <w:r>
        <w:rPr>
          <w:rFonts w:ascii="Arial" w:hAnsi="Arial"/>
          <w:color w:val="1E1E1E"/>
          <w:sz w:val="21"/>
        </w:rPr>
        <w:t>The strategic management of working capital is essential for maintaining the equilibrium between operational continuity and financial performance: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Ensuring Technical Solvency and Survival:</w:t>
      </w:r>
      <w:r>
        <w:rPr>
          <w:rFonts w:ascii="Arial" w:hAnsi="Arial"/>
          <w:color w:val="1E1E1E"/>
          <w:sz w:val="21"/>
        </w:rPr>
        <w:t xml:space="preserve"> The most fundamental significance of WCM is the prevention of technical insolvency, which occurs when a firm cannot meet its immediate financial obligations despite having significant long-term assets. For example, during the 2008 financial crisis, many firms with strong balance sheets failed because they could not roll over short-term commercial paper or access immediate cash to pay creditors.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Enhancement of Operational Efficiency and Value:</w:t>
      </w:r>
      <w:r>
        <w:rPr>
          <w:rFonts w:ascii="Arial" w:hAnsi="Arial"/>
          <w:color w:val="1E1E1E"/>
          <w:sz w:val="21"/>
        </w:rPr>
        <w:t xml:space="preserve"> By optimizing inventory levels and streamlining receivables, firms can significantly reduce the amount of capital locked in the operating cycle, thereby increasing free cash flow. Amazon provides a classic corporate example; by maintaining a "negative cash conversion cycle," where they collect money from customers before they have to pay their suppliers, they effectively use vendor capital to fund their massive global expansion.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Mitigation of Supply Chain and Market Risks:</w:t>
      </w:r>
      <w:r>
        <w:rPr>
          <w:rFonts w:ascii="Arial" w:hAnsi="Arial"/>
          <w:color w:val="1E1E1E"/>
          <w:sz w:val="21"/>
        </w:rPr>
        <w:t xml:space="preserve"> Robust working capital reserves act as a buffer against external shocks, such as sudden spikes in raw material prices or disruptions in logistics. During the COVID-19 pandemic, companies like Apple and Microsoft utilized their massive liquidity cushions to support distressed suppliers and maintain production schedules, illustrating how WCM serves as a tool for strategic resilience in volatile environments.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Maximization of Shareholder Wealth:</w:t>
      </w:r>
      <w:r>
        <w:rPr>
          <w:rFonts w:ascii="Arial" w:hAnsi="Arial"/>
          <w:color w:val="1E1E1E"/>
          <w:sz w:val="21"/>
        </w:rPr>
        <w:t xml:space="preserve"> Effective WCM directly impacts a firm’s valuation by reducing the Weighted Average Cost of Capital (WACC) and improving the Return on Invested Capital (ROIC). When a company like Walmart utilizes its scale to extend payables while maintaining rapid inventory turnover, it generates higher returns for shareholders without needing to issue new equity or take on high-interest debt.</w:t>
      </w:r>
    </w:p>
    <w:p>
      <w:pPr>
        <w:keepNext/>
        <w:spacing w:before="220" w:after="100" w:line="276" w:lineRule="auto"/>
        <w:ind w:left="0" w:right="0" w:firstLine="0"/>
        <w:jc w:val="left"/>
      </w:pPr>
      <w:r>
        <w:rPr>
          <w:rFonts w:ascii="Arial" w:hAnsi="Arial"/>
          <w:b/>
          <w:color w:val="111827"/>
          <w:sz w:val="25"/>
        </w:rPr>
        <w:t>Comparative Analysis: Working Capital Management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Working Capital Management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Capital Budgeting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Capital Structure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Dividend Policy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Time Horizon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Short-term focus on daily operational cycles.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focus on multi-year project lifespans.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Permanent focus on long-term funding mix.</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Periodic focus on distribution of earnings.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Goal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Ensuring liquidity and operational solvency.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Maximizing NPV through strategic asset acquisition.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Minimizing WACC through debt-equity optimization.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Balancing reinvestment needs with shareholder returns.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Risk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Focuses on liquidity risk and default risk.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Focuses on market risk and project failure.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Focuses on financial distress and bankruptcy.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Focuses on signaling risk and agency costs.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Asset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Current assets and current liabilities.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Non-current assets and fixed investments.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Total liabilities and shareholders' equity.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Retained earnings and cash distributions.</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Working Capital Management Within Organizations</w:t>
      </w:r>
    </w:p>
    <w:p>
      <w:pPr>
        <w:spacing w:before="40" w:after="120" w:line="276" w:lineRule="auto"/>
        <w:ind w:left="0" w:right="0" w:firstLine="0"/>
        <w:jc w:val="left"/>
      </w:pPr>
      <w:r>
        <w:rPr>
          <w:rFonts w:ascii="Arial" w:hAnsi="Arial"/>
          <w:color w:val="1E1E1E"/>
          <w:sz w:val="21"/>
        </w:rPr>
        <w:t>Leaders must move beyond viewing working capital as a balance sheet metric and instead treat it as a strategic lever for organizational agility:</w:t>
      </w:r>
    </w:p>
    <w:p>
      <w:pPr>
        <w:keepNext/>
        <w:spacing w:before="180" w:after="60" w:line="276" w:lineRule="auto"/>
        <w:ind w:left="0" w:right="0" w:firstLine="0"/>
        <w:jc w:val="left"/>
      </w:pPr>
      <w:r>
        <w:rPr>
          <w:rFonts w:ascii="Arial" w:hAnsi="Arial"/>
          <w:b/>
          <w:color w:val="111827"/>
          <w:sz w:val="22"/>
        </w:rPr>
        <w:t>1. Optimizing the Cash Conversion Cycle (CCC)</w:t>
      </w:r>
    </w:p>
    <w:p>
      <w:pPr>
        <w:spacing w:before="40" w:after="120" w:line="276" w:lineRule="auto"/>
        <w:ind w:left="0" w:right="0" w:firstLine="0"/>
        <w:jc w:val="left"/>
      </w:pPr>
      <w:r>
        <w:rPr>
          <w:rFonts w:ascii="Arial" w:hAnsi="Arial"/>
          <w:color w:val="1E1E1E"/>
          <w:sz w:val="21"/>
        </w:rPr>
        <w:t>Managers prioritize the reduction of the time lag between cash outflows and inflows to maximize internal funding.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Process Mapping:</w:t>
      </w:r>
      <w:r>
        <w:rPr>
          <w:rFonts w:ascii="Arial" w:hAnsi="Arial"/>
          <w:color w:val="1E1E1E"/>
          <w:sz w:val="21"/>
        </w:rPr>
        <w:t xml:space="preserve"> Leaders conduct rigorous audits of the production timeline to identify bottlenecks that delay inventory movement.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Incentive Alignment:</w:t>
      </w:r>
      <w:r>
        <w:rPr>
          <w:rFonts w:ascii="Arial" w:hAnsi="Arial"/>
          <w:color w:val="1E1E1E"/>
          <w:sz w:val="21"/>
        </w:rPr>
        <w:t xml:space="preserve"> Sales teams are often incentivized based on collections rather than just total sales volume to discourage bad debt.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Benchmarking:</w:t>
      </w:r>
      <w:r>
        <w:rPr>
          <w:rFonts w:ascii="Arial" w:hAnsi="Arial"/>
          <w:color w:val="1E1E1E"/>
          <w:sz w:val="21"/>
        </w:rPr>
        <w:t xml:space="preserve"> Organizations compare their CCC against industry leaders to identify gaps in operational efficiency and cash flow velocity.</w:t>
      </w:r>
    </w:p>
    <w:p>
      <w:pPr>
        <w:keepNext/>
        <w:spacing w:before="180" w:after="60" w:line="276" w:lineRule="auto"/>
        <w:ind w:left="0" w:right="0" w:firstLine="0"/>
        <w:jc w:val="left"/>
      </w:pPr>
      <w:r>
        <w:rPr>
          <w:rFonts w:ascii="Arial" w:hAnsi="Arial"/>
          <w:b/>
          <w:color w:val="111827"/>
          <w:sz w:val="22"/>
        </w:rPr>
        <w:t>2. Strategic Inventory Management</w:t>
      </w:r>
    </w:p>
    <w:p>
      <w:pPr>
        <w:spacing w:before="40" w:after="120" w:line="276" w:lineRule="auto"/>
        <w:ind w:left="0" w:right="0" w:firstLine="0"/>
        <w:jc w:val="left"/>
      </w:pPr>
      <w:r>
        <w:rPr>
          <w:rFonts w:ascii="Arial" w:hAnsi="Arial"/>
          <w:color w:val="1E1E1E"/>
          <w:sz w:val="21"/>
        </w:rPr>
        <w:t>Modern leadership employs sophisticated inventory models to balance the costs of holding stock against the risks of stockouts.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Just-In-Time (JIT) Implementation:</w:t>
      </w:r>
      <w:r>
        <w:rPr>
          <w:rFonts w:ascii="Arial" w:hAnsi="Arial"/>
          <w:color w:val="1E1E1E"/>
          <w:sz w:val="21"/>
        </w:rPr>
        <w:t xml:space="preserve"> Leaders integrate JIT systems to minimize warehouse costs and reduce the risk of inventory obsolescence.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ABC Analysis:</w:t>
      </w:r>
      <w:r>
        <w:rPr>
          <w:rFonts w:ascii="Arial" w:hAnsi="Arial"/>
          <w:color w:val="1E1E1E"/>
          <w:sz w:val="21"/>
        </w:rPr>
        <w:t xml:space="preserve"> Management categorizes inventory by value and turnover rate, focusing the most intensive controls on high-value "A" items.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Safety Stock Calibration:</w:t>
      </w:r>
      <w:r>
        <w:rPr>
          <w:rFonts w:ascii="Arial" w:hAnsi="Arial"/>
          <w:color w:val="1E1E1E"/>
          <w:sz w:val="21"/>
        </w:rPr>
        <w:t xml:space="preserve"> Data analytics are used to determine the precise level of buffer stock needed to handle demand volatility.</w:t>
      </w:r>
    </w:p>
    <w:p>
      <w:pPr>
        <w:keepNext/>
        <w:spacing w:before="180" w:after="60" w:line="276" w:lineRule="auto"/>
        <w:ind w:left="0" w:right="0" w:firstLine="0"/>
        <w:jc w:val="left"/>
      </w:pPr>
      <w:r>
        <w:rPr>
          <w:rFonts w:ascii="Arial" w:hAnsi="Arial"/>
          <w:b/>
          <w:color w:val="111827"/>
          <w:sz w:val="22"/>
        </w:rPr>
        <w:t>3. Strengthening Accounts Receivable Protocols</w:t>
      </w:r>
    </w:p>
    <w:p>
      <w:pPr>
        <w:spacing w:before="40" w:after="120" w:line="276" w:lineRule="auto"/>
        <w:ind w:left="0" w:right="0" w:firstLine="0"/>
        <w:jc w:val="left"/>
      </w:pPr>
      <w:r>
        <w:rPr>
          <w:rFonts w:ascii="Arial" w:hAnsi="Arial"/>
          <w:color w:val="1E1E1E"/>
          <w:sz w:val="21"/>
        </w:rPr>
        <w:t>Effective leaders implement disciplined credit policies to ensure that sales are converted into cash as quickly as possible.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Credit Scoring:</w:t>
      </w:r>
      <w:r>
        <w:rPr>
          <w:rFonts w:ascii="Arial" w:hAnsi="Arial"/>
          <w:color w:val="1E1E1E"/>
          <w:sz w:val="21"/>
        </w:rPr>
        <w:t xml:space="preserve"> Organizations use rigorous financial screening to grant credit only to customers with high repayment probabilities.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Early Payment Discounts:</w:t>
      </w:r>
      <w:r>
        <w:rPr>
          <w:rFonts w:ascii="Arial" w:hAnsi="Arial"/>
          <w:color w:val="1E1E1E"/>
          <w:sz w:val="21"/>
        </w:rPr>
        <w:t xml:space="preserve"> Leaders offer "2/10 net 30" terms to encourage clients to settle invoices within ten days for a discount.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Automated Collections:</w:t>
      </w:r>
      <w:r>
        <w:rPr>
          <w:rFonts w:ascii="Arial" w:hAnsi="Arial"/>
          <w:color w:val="1E1E1E"/>
          <w:sz w:val="21"/>
        </w:rPr>
        <w:t xml:space="preserve"> Using automated reminders and digital payment portals reduces the "days sales outstanding" (DSO) and administrative overhead.</w:t>
      </w:r>
    </w:p>
    <w:p>
      <w:pPr>
        <w:keepNext/>
        <w:spacing w:before="180" w:after="60" w:line="276" w:lineRule="auto"/>
        <w:ind w:left="0" w:right="0" w:firstLine="0"/>
        <w:jc w:val="left"/>
      </w:pPr>
      <w:r>
        <w:rPr>
          <w:rFonts w:ascii="Arial" w:hAnsi="Arial"/>
          <w:b/>
          <w:color w:val="111827"/>
          <w:sz w:val="22"/>
        </w:rPr>
        <w:t>4. Leveraging Accounts Payable and Vendor Relations</w:t>
      </w:r>
    </w:p>
    <w:p>
      <w:pPr>
        <w:spacing w:before="40" w:after="120" w:line="276" w:lineRule="auto"/>
        <w:ind w:left="0" w:right="0" w:firstLine="0"/>
        <w:jc w:val="left"/>
      </w:pPr>
      <w:r>
        <w:rPr>
          <w:rFonts w:ascii="Arial" w:hAnsi="Arial"/>
          <w:color w:val="1E1E1E"/>
          <w:sz w:val="21"/>
        </w:rPr>
        <w:t>Strategic leaders treat accounts payable as a source of interest-free financing while maintaining healthy supplier ecosystems.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Negotiation of Terms:</w:t>
      </w:r>
      <w:r>
        <w:rPr>
          <w:rFonts w:ascii="Arial" w:hAnsi="Arial"/>
          <w:color w:val="1E1E1E"/>
          <w:sz w:val="21"/>
        </w:rPr>
        <w:t xml:space="preserve"> Procurement teams work to extend payment windows, effectively using supplier capital to fund internal operations.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Dynamic Discounting:</w:t>
      </w:r>
      <w:r>
        <w:rPr>
          <w:rFonts w:ascii="Arial" w:hAnsi="Arial"/>
          <w:color w:val="1E1E1E"/>
          <w:sz w:val="21"/>
        </w:rPr>
        <w:t xml:space="preserve"> Leaders use excess cash to pay suppliers early in exchange for discounts when the return exceeds market rates.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Supply Chain Finance:</w:t>
      </w:r>
      <w:r>
        <w:rPr>
          <w:rFonts w:ascii="Arial" w:hAnsi="Arial"/>
          <w:color w:val="1E1E1E"/>
          <w:sz w:val="21"/>
        </w:rPr>
        <w:t xml:space="preserve"> Large firms facilitate "reverse factoring," allowing their suppliers to get paid early by banks based on the firm's credit.</w:t>
      </w:r>
    </w:p>
    <w:p>
      <w:pPr>
        <w:keepNext/>
        <w:spacing w:before="180" w:after="60" w:line="276" w:lineRule="auto"/>
        <w:ind w:left="0" w:right="0" w:firstLine="0"/>
        <w:jc w:val="left"/>
      </w:pPr>
      <w:r>
        <w:rPr>
          <w:rFonts w:ascii="Arial" w:hAnsi="Arial"/>
          <w:b/>
          <w:color w:val="111827"/>
          <w:sz w:val="22"/>
        </w:rPr>
        <w:t>5. Integration of Predictive Financial Analytics</w:t>
      </w:r>
    </w:p>
    <w:p>
      <w:pPr>
        <w:spacing w:before="40" w:after="120" w:line="276" w:lineRule="auto"/>
        <w:ind w:left="0" w:right="0" w:firstLine="0"/>
        <w:jc w:val="left"/>
      </w:pPr>
      <w:r>
        <w:rPr>
          <w:rFonts w:ascii="Arial" w:hAnsi="Arial"/>
          <w:color w:val="1E1E1E"/>
          <w:sz w:val="21"/>
        </w:rPr>
        <w:t>The most advanced organizations use technology to transform working capital management from a reactive to a proactive function.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Real-time Dashboards:</w:t>
      </w:r>
      <w:r>
        <w:rPr>
          <w:rFonts w:ascii="Arial" w:hAnsi="Arial"/>
          <w:color w:val="1E1E1E"/>
          <w:sz w:val="21"/>
        </w:rPr>
        <w:t xml:space="preserve"> Leaders utilize ERP systems to monitor liquidity ratios and cash positions across global subsidiaries instantaneously.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AI-Driven Forecasting:</w:t>
      </w:r>
      <w:r>
        <w:rPr>
          <w:rFonts w:ascii="Arial" w:hAnsi="Arial"/>
          <w:color w:val="1E1E1E"/>
          <w:sz w:val="21"/>
        </w:rPr>
        <w:t xml:space="preserve"> Machine learning algorithms predict seasonal demand shifts, allowing for more precise inventory and cash planning.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Scenario Modeling:</w:t>
      </w:r>
      <w:r>
        <w:rPr>
          <w:rFonts w:ascii="Arial" w:hAnsi="Arial"/>
          <w:color w:val="1E1E1E"/>
          <w:sz w:val="21"/>
        </w:rPr>
        <w:t xml:space="preserve"> Financial teams run "stress tests" to see how the firm’s liquidity would hold up under various economic downturns.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Working capital management serves as the vital link between a firm’s strategic goals and its daily operational reality. By maintaining the delicate balance between liquidity and profitability, organizations ensure they possess the necessary resources to meet immediate obligations while avoiding the inefficiencies of idle capital. Ultimately, WCM is not just about survival; it is about creating a lean, agile financial structure that supports sustainable growth and long-term value creation.</w:t>
      </w:r>
    </w:p>
    <w:p>
      <w:pPr>
        <w:spacing w:before="40" w:after="120" w:line="276" w:lineRule="auto"/>
        <w:ind w:left="0" w:right="0" w:firstLine="0"/>
        <w:jc w:val="left"/>
      </w:pPr>
      <w:r>
        <w:rPr>
          <w:rFonts w:ascii="Arial" w:hAnsi="Arial"/>
          <w:color w:val="1E1E1E"/>
          <w:sz w:val="21"/>
        </w:rPr>
        <w:t>The significance of this discipline is further amplified in an era characterized by global supply chain volatility and fluctuating interest rates. Leaders who master the pillars of the cash conversion cycle and the financing mix can turn working capital into a competitive advantage rather than a financial burden. As businesses continue to navigate complex market dynamics, the rigorous management of short-term assets and liabilities will remain a cornerstone of corporate financial excellence.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