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14</w:t>
      </w:r>
    </w:p>
    <w:p>
      <w:pPr>
        <w:spacing w:before="0" w:after="240" w:line="288" w:lineRule="auto"/>
        <w:ind w:left="0" w:right="0" w:firstLine="0"/>
        <w:jc w:val="left"/>
        <w:pBdr>
          <w:bottom w:val="single" w:sz="6" w:space="6" w:color="D0D5DD"/>
        </w:pBdr>
      </w:pPr>
      <w:r>
        <w:rPr>
          <w:rFonts w:ascii="Arial" w:hAnsi="Arial"/>
          <w:b/>
          <w:color w:val="111827"/>
          <w:sz w:val="23"/>
        </w:rPr>
        <w:t>'s Discuss the concept of financing mix in entrepreneurial ventures. How do different types of financing sources impact a startup's growth, risk profile, and overall financial health? Provide a detailed analysis of equity financing, debt financing, and alternative financing methods. Illustrate how entrepreneurs can strategically select and manage their financing mix to achieve their business objectives. Include the advantages and disadvantages of each financing type and discuss the factors that influence the choice of financing sources.</w:t>
      </w:r>
    </w:p>
    <w:p>
      <w:pPr>
        <w:keepNext/>
        <w:spacing w:before="220" w:after="100" w:line="276" w:lineRule="auto"/>
        <w:ind w:left="0" w:right="0" w:firstLine="0"/>
        <w:jc w:val="left"/>
      </w:pPr>
      <w:r>
        <w:rPr>
          <w:rFonts w:ascii="Arial" w:hAnsi="Arial"/>
          <w:b/>
          <w:color w:val="111827"/>
          <w:sz w:val="25"/>
        </w:rPr>
        <w:t>The Concept of Financing Mix in Entrepreneurial Ventures</w:t>
      </w:r>
    </w:p>
    <w:p>
      <w:pPr>
        <w:spacing w:before="40" w:after="120" w:line="276" w:lineRule="auto"/>
        <w:ind w:left="0" w:right="0" w:firstLine="0"/>
        <w:jc w:val="left"/>
      </w:pPr>
      <w:r>
        <w:rPr>
          <w:rFonts w:ascii="Arial" w:hAnsi="Arial"/>
          <w:color w:val="1E1E1E"/>
          <w:sz w:val="21"/>
        </w:rPr>
        <w:t>The financing mix, often referred to as capital structure, denotes the specific combination of debt and equity instruments employed by a firm to fund its operations, asset acquisitions, and growth initiatives. According to Myers (1984), this construct is governed by the "pecking order theory," which posits that firms prioritize sources of capital—starting with internal retained earnings, moving to debt, and finally resorting to equity—to minimize information asymmetry and transaction costs. This framework serves as the fundamental architecture through which an entrepreneurial venture balances the requirements of liquidity, solvency, and long-term value creation.</w:t>
      </w:r>
    </w:p>
    <w:p>
      <w:pPr>
        <w:spacing w:before="40" w:after="120" w:line="276" w:lineRule="auto"/>
        <w:ind w:left="0" w:right="0" w:firstLine="0"/>
        <w:jc w:val="left"/>
      </w:pPr>
      <w:r>
        <w:rPr>
          <w:rFonts w:ascii="Arial" w:hAnsi="Arial"/>
          <w:color w:val="1E1E1E"/>
          <w:sz w:val="21"/>
        </w:rPr>
        <w:t>In practice, the financing mix is not a static calculation but a dynamic strategic lever that evolves alongside the venture’s lifecycle. Entrepreneurs must navigate the trade-off between the dilution of ownership inherent in equity financing and the rigid repayment obligations associated with debt instruments. By strategically calibrating these sources, founders modulate their exposure to financial distress while simultaneously positioning the firm to capture market opportunities. The operational reality requires balancing the immediate need for capital against the long-term implications for corporate control and financial autonomy.</w:t>
      </w:r>
    </w:p>
    <w:p>
      <w:pPr>
        <w:keepNext/>
        <w:spacing w:before="220" w:after="100" w:line="276" w:lineRule="auto"/>
        <w:ind w:left="0" w:right="0" w:firstLine="0"/>
        <w:jc w:val="left"/>
      </w:pPr>
      <w:r>
        <w:rPr>
          <w:rFonts w:ascii="Arial" w:hAnsi="Arial"/>
          <w:b/>
          <w:color w:val="111827"/>
          <w:sz w:val="25"/>
        </w:rPr>
        <w:t>Core Pillars of Financing Mix</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Equity Financing and Ownership Dilution:</w:t>
      </w:r>
      <w:r>
        <w:rPr>
          <w:rFonts w:ascii="Arial" w:hAnsi="Arial"/>
          <w:color w:val="1E1E1E"/>
          <w:sz w:val="21"/>
        </w:rPr>
        <w:t xml:space="preserve"> Equity financing involves the exchange of capital for partial ownership of the venture, typically sourced from angel investors, venture capitalists, or private equity firms. While this method provides substantial capital without the immediate pressure of mandatory interest payments, it necessitates a permanent surrender of a portion of future profits and decision-making authority. Entrepreneurs must weigh the benefits of external expertise and network access provided by equity partners against the potential for goal misalignment and the eventual loss of control over the firm’s strategic trajectory.</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Debt Financing and Financial Leverage:</w:t>
      </w:r>
      <w:r>
        <w:rPr>
          <w:rFonts w:ascii="Arial" w:hAnsi="Arial"/>
          <w:color w:val="1E1E1E"/>
          <w:sz w:val="21"/>
        </w:rPr>
        <w:t xml:space="preserve"> Debt financing encompasses traditional bank loans, lines of credit, or corporate bonds, which require the startup to repay the principal amount plus interest regardless of its operational performance. This approach preserves ownership equity for the founders, allowing them to retain full control and enjoy the entirety of the upside if the business succeeds. However, the requirement for collateral and the imposition of restrictive covenants create a heightened risk profile; if the venture fails to generate sufficient cash flow to cover service payments, it faces the existential threat of insolvency or bankruptcy.</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Alternative Financing and Hybrid Instruments:</w:t>
      </w:r>
      <w:r>
        <w:rPr>
          <w:rFonts w:ascii="Arial" w:hAnsi="Arial"/>
          <w:color w:val="1E1E1E"/>
          <w:sz w:val="21"/>
        </w:rPr>
        <w:t xml:space="preserve"> Alternative financing includes methods such as crowdfunding, revenue-based financing, and government grants, which offer flexible structures that differ from traditional binary choices. These sources often mitigate the rigid requirements of debt or the high costs of equity, providing entrepreneurs with capital that is better aligned with specific milestones or community-driven growth. By utilizing these mechanisms, startups can optimize their capital structure to suit unique operational constraints, though these sources may be less scalable or more unpredictable than institutional funding rounds.</w:t>
      </w:r>
    </w:p>
    <w:p>
      <w:pPr>
        <w:keepNext/>
        <w:spacing w:before="220" w:after="100" w:line="276" w:lineRule="auto"/>
        <w:ind w:left="0" w:right="0" w:firstLine="0"/>
        <w:jc w:val="left"/>
      </w:pPr>
      <w:r>
        <w:rPr>
          <w:rFonts w:ascii="Arial" w:hAnsi="Arial"/>
          <w:b/>
          <w:color w:val="111827"/>
          <w:sz w:val="25"/>
        </w:rPr>
        <w:t>Importance of Financing Mix in Contemporary Business</w:t>
      </w:r>
    </w:p>
    <w:p>
      <w:pPr>
        <w:spacing w:before="40" w:after="120" w:line="276" w:lineRule="auto"/>
        <w:ind w:left="0" w:right="0" w:firstLine="0"/>
        <w:jc w:val="left"/>
      </w:pPr>
      <w:r>
        <w:rPr>
          <w:rFonts w:ascii="Arial" w:hAnsi="Arial"/>
          <w:color w:val="1E1E1E"/>
          <w:sz w:val="21"/>
        </w:rPr>
        <w:t>The strategic configuration of capital sources dictates a firm’s capacity to innovate and endure market volatility: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Risk Mitigation through Diversification:</w:t>
      </w:r>
      <w:r>
        <w:rPr>
          <w:rFonts w:ascii="Arial" w:hAnsi="Arial"/>
          <w:color w:val="1E1E1E"/>
          <w:sz w:val="21"/>
        </w:rPr>
        <w:t xml:space="preserve"> Maintaining a balanced capital structure prevents over-reliance on a single funding source, thereby insulating the firm from sudden credit crunches or investor withdrawals. For instance, a fintech startup utilizing a mix of venture debt and equity can sustain operations during lean periods without sacrificing significant equity stake.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Fueling Scalability and Market Expansion:</w:t>
      </w:r>
      <w:r>
        <w:rPr>
          <w:rFonts w:ascii="Arial" w:hAnsi="Arial"/>
          <w:color w:val="1E1E1E"/>
          <w:sz w:val="21"/>
        </w:rPr>
        <w:t xml:space="preserve"> Access to substantial capital allows firms to aggressively pursue market share and invest in research and development before reaching profitability. Companies like Uber utilized massive equity injections to subsidize global expansion, effectively outmaneuvering competitors through sheer financial dominance.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Optimizing the Cost of Capital:</w:t>
      </w:r>
      <w:r>
        <w:rPr>
          <w:rFonts w:ascii="Arial" w:hAnsi="Arial"/>
          <w:color w:val="1E1E1E"/>
          <w:sz w:val="21"/>
        </w:rPr>
        <w:t xml:space="preserve"> Selecting the most efficient mix of debt and equity minimizes the Weighted Average Cost of Capital (WACC), directly enhancing the venture’s net present value. Mature tech firms often issue bonds to take advantage of lower interest rates, thereby lowering their overall cost of financing compared to relying solely on expensive venture equity.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Preserving Strategic Autonomy:</w:t>
      </w:r>
      <w:r>
        <w:rPr>
          <w:rFonts w:ascii="Arial" w:hAnsi="Arial"/>
          <w:color w:val="1E1E1E"/>
          <w:sz w:val="21"/>
        </w:rPr>
        <w:t xml:space="preserve"> A well-structured financing strategy ensures that founders maintain sufficient control to execute their long-term vision without undue interference from external stakeholders. Successful bootstrapped companies, such as Mailchimp, maintained autonomy for years by relying on organic revenue growth rather than external equity, ensuring total alignment with customer needs.</w:t>
      </w:r>
    </w:p>
    <w:p>
      <w:pPr>
        <w:keepNext/>
        <w:spacing w:before="220" w:after="100" w:line="276" w:lineRule="auto"/>
        <w:ind w:left="0" w:right="0" w:firstLine="0"/>
        <w:jc w:val="left"/>
      </w:pPr>
      <w:r>
        <w:rPr>
          <w:rFonts w:ascii="Arial" w:hAnsi="Arial"/>
          <w:b/>
          <w:color w:val="111827"/>
          <w:sz w:val="25"/>
        </w:rPr>
        <w:t>Comparative Analysis: Financing Mix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Equity Financing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Debt Financing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Alternative Financing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Bootstrapping</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Control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Significant dilution of founder ownership and voting power.</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Full control maintained, provided covenants are strictly met.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Varies; often less invasive than institutional equity rounds.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Absolute control retained by the founding management team.</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Risk</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Low; no mandatory repayments if the venture fails.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mandatory payments create potential for insolvency risk.</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Moderate; depends on specific terms of the agreement.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Low; no external financial obligations or interest payments.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Cost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High; involves long-term profit sharing and dividend obligations.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Moderate; interest payments are generally tax-deductible expenses.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Variable; can be lower than equity or higher than debt.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Low; primary cost is the opportunity cost of capital.</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Availability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Accessible for high-growth ventures with scalable business models.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Requires existing assets, cash flow, or strong credit.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Accessible to niche or community-oriented business models.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Limited to personal savings and early customer revenue.</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Financing Mix Within Organizations</w:t>
      </w:r>
    </w:p>
    <w:p>
      <w:pPr>
        <w:spacing w:before="40" w:after="120" w:line="276" w:lineRule="auto"/>
        <w:ind w:left="0" w:right="0" w:firstLine="0"/>
        <w:jc w:val="left"/>
      </w:pPr>
      <w:r>
        <w:rPr>
          <w:rFonts w:ascii="Arial" w:hAnsi="Arial"/>
          <w:color w:val="1E1E1E"/>
          <w:sz w:val="21"/>
        </w:rPr>
        <w:t>Leaders must actively manage their capital structure to align financial resources with the firm’s overarching strategic objectives:</w:t>
      </w:r>
    </w:p>
    <w:p>
      <w:pPr>
        <w:keepNext/>
        <w:spacing w:before="180" w:after="60" w:line="276" w:lineRule="auto"/>
        <w:ind w:left="0" w:right="0" w:firstLine="0"/>
        <w:jc w:val="left"/>
      </w:pPr>
      <w:r>
        <w:rPr>
          <w:rFonts w:ascii="Arial" w:hAnsi="Arial"/>
          <w:b/>
          <w:color w:val="111827"/>
          <w:sz w:val="22"/>
        </w:rPr>
        <w:t>1. Strategic Lifecycle Alignment</w:t>
      </w:r>
    </w:p>
    <w:p>
      <w:pPr>
        <w:spacing w:before="40" w:after="120" w:line="276" w:lineRule="auto"/>
        <w:ind w:left="0" w:right="0" w:firstLine="0"/>
        <w:jc w:val="left"/>
      </w:pPr>
      <w:r>
        <w:rPr>
          <w:rFonts w:ascii="Arial" w:hAnsi="Arial"/>
          <w:color w:val="1E1E1E"/>
          <w:sz w:val="21"/>
        </w:rPr>
        <w:t>Founders must adjust their financing approach to match the specific developmental stage of the venture.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Early-Stage Focus:</w:t>
      </w:r>
      <w:r>
        <w:rPr>
          <w:rFonts w:ascii="Arial" w:hAnsi="Arial"/>
          <w:color w:val="1E1E1E"/>
          <w:sz w:val="21"/>
        </w:rPr>
        <w:t xml:space="preserve"> Prioritize equity or grants to fund initial product development without the burden of interest.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Growth-Stage Balancing:</w:t>
      </w:r>
      <w:r>
        <w:rPr>
          <w:rFonts w:ascii="Arial" w:hAnsi="Arial"/>
          <w:color w:val="1E1E1E"/>
          <w:sz w:val="21"/>
        </w:rPr>
        <w:t xml:space="preserve"> Introduce debt instruments once revenue is stable to leverage assets without further equity dilution.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Maturity Adjustments:</w:t>
      </w:r>
      <w:r>
        <w:rPr>
          <w:rFonts w:ascii="Arial" w:hAnsi="Arial"/>
          <w:color w:val="1E1E1E"/>
          <w:sz w:val="21"/>
        </w:rPr>
        <w:t xml:space="preserve"> Refinance high-cost debt with more efficient instruments as the venture’s credit profile improves.</w:t>
      </w:r>
    </w:p>
    <w:p>
      <w:pPr>
        <w:keepNext/>
        <w:spacing w:before="180" w:after="60" w:line="276" w:lineRule="auto"/>
        <w:ind w:left="0" w:right="0" w:firstLine="0"/>
        <w:jc w:val="left"/>
      </w:pPr>
      <w:r>
        <w:rPr>
          <w:rFonts w:ascii="Arial" w:hAnsi="Arial"/>
          <w:b/>
          <w:color w:val="111827"/>
          <w:sz w:val="22"/>
        </w:rPr>
        <w:t>2. Rigorous Cash Flow Forecasting</w:t>
      </w:r>
    </w:p>
    <w:p>
      <w:pPr>
        <w:spacing w:before="40" w:after="120" w:line="276" w:lineRule="auto"/>
        <w:ind w:left="0" w:right="0" w:firstLine="0"/>
        <w:jc w:val="left"/>
      </w:pPr>
      <w:r>
        <w:rPr>
          <w:rFonts w:ascii="Arial" w:hAnsi="Arial"/>
          <w:color w:val="1E1E1E"/>
          <w:sz w:val="21"/>
        </w:rPr>
        <w:t>Effective leaders utilize predictive modeling to ensure that debt service obligations never compromise operational stability.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Stress Testing:</w:t>
      </w:r>
      <w:r>
        <w:rPr>
          <w:rFonts w:ascii="Arial" w:hAnsi="Arial"/>
          <w:color w:val="1E1E1E"/>
          <w:sz w:val="21"/>
        </w:rPr>
        <w:t xml:space="preserve"> Simulate various market downturns to determine the maximum debt load the company can safely sustain.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Liquidity Buffers:</w:t>
      </w:r>
      <w:r>
        <w:rPr>
          <w:rFonts w:ascii="Arial" w:hAnsi="Arial"/>
          <w:color w:val="1E1E1E"/>
          <w:sz w:val="21"/>
        </w:rPr>
        <w:t xml:space="preserve"> Maintain sufficient cash reserves to meet repayment schedules even during periods of revenue volatility.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Covenant Monitoring:</w:t>
      </w:r>
      <w:r>
        <w:rPr>
          <w:rFonts w:ascii="Arial" w:hAnsi="Arial"/>
          <w:color w:val="1E1E1E"/>
          <w:sz w:val="21"/>
        </w:rPr>
        <w:t xml:space="preserve"> Track financial metrics closely to ensure full compliance with all institutional lending requirements.</w:t>
      </w:r>
    </w:p>
    <w:p>
      <w:pPr>
        <w:keepNext/>
        <w:spacing w:before="180" w:after="60" w:line="276" w:lineRule="auto"/>
        <w:ind w:left="0" w:right="0" w:firstLine="0"/>
        <w:jc w:val="left"/>
      </w:pPr>
      <w:r>
        <w:rPr>
          <w:rFonts w:ascii="Arial" w:hAnsi="Arial"/>
          <w:b/>
          <w:color w:val="111827"/>
          <w:sz w:val="22"/>
        </w:rPr>
        <w:t>3. Balancing Control and Capital</w:t>
      </w:r>
    </w:p>
    <w:p>
      <w:pPr>
        <w:spacing w:before="40" w:after="120" w:line="276" w:lineRule="auto"/>
        <w:ind w:left="0" w:right="0" w:firstLine="0"/>
        <w:jc w:val="left"/>
      </w:pPr>
      <w:r>
        <w:rPr>
          <w:rFonts w:ascii="Arial" w:hAnsi="Arial"/>
          <w:color w:val="1E1E1E"/>
          <w:sz w:val="21"/>
        </w:rPr>
        <w:t>Entrepreneurs must decide what level of ownership dilution is acceptable in exchange for the capital required to scale.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Dilution Planning:</w:t>
      </w:r>
      <w:r>
        <w:rPr>
          <w:rFonts w:ascii="Arial" w:hAnsi="Arial"/>
          <w:color w:val="1E1E1E"/>
          <w:sz w:val="21"/>
        </w:rPr>
        <w:t xml:space="preserve"> Create a long-term capitalization table to visualize the impact of future funding rounds on founder equity.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Governance Design:</w:t>
      </w:r>
      <w:r>
        <w:rPr>
          <w:rFonts w:ascii="Arial" w:hAnsi="Arial"/>
          <w:color w:val="1E1E1E"/>
          <w:sz w:val="21"/>
        </w:rPr>
        <w:t xml:space="preserve"> Negotiate investor rights carefully to protect the company's core mission from external interference.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Strategic Partnerships:</w:t>
      </w:r>
      <w:r>
        <w:rPr>
          <w:rFonts w:ascii="Arial" w:hAnsi="Arial"/>
          <w:color w:val="1E1E1E"/>
          <w:sz w:val="21"/>
        </w:rPr>
        <w:t xml:space="preserve"> Seek investors who provide "smart money," offering industry expertise alongside capital to maximize value.</w:t>
      </w:r>
    </w:p>
    <w:p>
      <w:pPr>
        <w:keepNext/>
        <w:spacing w:before="180" w:after="60" w:line="276" w:lineRule="auto"/>
        <w:ind w:left="0" w:right="0" w:firstLine="0"/>
        <w:jc w:val="left"/>
      </w:pPr>
      <w:r>
        <w:rPr>
          <w:rFonts w:ascii="Arial" w:hAnsi="Arial"/>
          <w:b/>
          <w:color w:val="111827"/>
          <w:sz w:val="22"/>
        </w:rPr>
        <w:t>4. Diversification of Funding Sources</w:t>
      </w:r>
    </w:p>
    <w:p>
      <w:pPr>
        <w:spacing w:before="40" w:after="120" w:line="276" w:lineRule="auto"/>
        <w:ind w:left="0" w:right="0" w:firstLine="0"/>
        <w:jc w:val="left"/>
      </w:pPr>
      <w:r>
        <w:rPr>
          <w:rFonts w:ascii="Arial" w:hAnsi="Arial"/>
          <w:color w:val="1E1E1E"/>
          <w:sz w:val="21"/>
        </w:rPr>
        <w:t>Relying on multiple channels of capital reduces the vulnerability of the venture to external market shifts.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Hybrid Modeling:</w:t>
      </w:r>
      <w:r>
        <w:rPr>
          <w:rFonts w:ascii="Arial" w:hAnsi="Arial"/>
          <w:color w:val="1E1E1E"/>
          <w:sz w:val="21"/>
        </w:rPr>
        <w:t xml:space="preserve"> Combine traditional bank loans with mezzanine financing to bridge the gap between debt and equity.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Non-Dilutive Funding:</w:t>
      </w:r>
      <w:r>
        <w:rPr>
          <w:rFonts w:ascii="Arial" w:hAnsi="Arial"/>
          <w:color w:val="1E1E1E"/>
          <w:sz w:val="21"/>
        </w:rPr>
        <w:t xml:space="preserve"> Aggressively pursue government grants and tax credits to minimize the need for external equity.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Investor Relations:</w:t>
      </w:r>
      <w:r>
        <w:rPr>
          <w:rFonts w:ascii="Arial" w:hAnsi="Arial"/>
          <w:color w:val="1E1E1E"/>
          <w:sz w:val="21"/>
        </w:rPr>
        <w:t xml:space="preserve"> Cultivate strong relationships with a diverse group of lenders and investors to ensure ongoing access.</w:t>
      </w:r>
    </w:p>
    <w:p>
      <w:pPr>
        <w:keepNext/>
        <w:spacing w:before="180" w:after="60" w:line="276" w:lineRule="auto"/>
        <w:ind w:left="0" w:right="0" w:firstLine="0"/>
        <w:jc w:val="left"/>
      </w:pPr>
      <w:r>
        <w:rPr>
          <w:rFonts w:ascii="Arial" w:hAnsi="Arial"/>
          <w:b/>
          <w:color w:val="111827"/>
          <w:sz w:val="22"/>
        </w:rPr>
        <w:t>5. Disciplined Capital Allocation</w:t>
      </w:r>
    </w:p>
    <w:p>
      <w:pPr>
        <w:spacing w:before="40" w:after="120" w:line="276" w:lineRule="auto"/>
        <w:ind w:left="0" w:right="0" w:firstLine="0"/>
        <w:jc w:val="left"/>
      </w:pPr>
      <w:r>
        <w:rPr>
          <w:rFonts w:ascii="Arial" w:hAnsi="Arial"/>
          <w:color w:val="1E1E1E"/>
          <w:sz w:val="21"/>
        </w:rPr>
        <w:t>The final strategy involves ensuring that every dollar of raised capital is deployed toward high-return projects.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ROI Benchmarking:</w:t>
      </w:r>
      <w:r>
        <w:rPr>
          <w:rFonts w:ascii="Arial" w:hAnsi="Arial"/>
          <w:color w:val="1E1E1E"/>
          <w:sz w:val="21"/>
        </w:rPr>
        <w:t xml:space="preserve"> Evaluate every major expenditure against the expected impact on the firm’s valuation and profitability.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Performance Metrics:</w:t>
      </w:r>
      <w:r>
        <w:rPr>
          <w:rFonts w:ascii="Arial" w:hAnsi="Arial"/>
          <w:color w:val="1E1E1E"/>
          <w:sz w:val="21"/>
        </w:rPr>
        <w:t xml:space="preserve"> Tie the release of capital to the achievement of specific, measurable operational milestones.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Refinement Cycles:</w:t>
      </w:r>
      <w:r>
        <w:rPr>
          <w:rFonts w:ascii="Arial" w:hAnsi="Arial"/>
          <w:color w:val="1E1E1E"/>
          <w:sz w:val="21"/>
        </w:rPr>
        <w:t xml:space="preserve"> Regularly review the cost of capital to identify opportunities for reducing expenses through refinancing.</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The financing mix represents a critical strategic decision that fundamentally dictates the risk profile, growth trajectory, and ultimate autonomy of an entrepreneurial venture. By systematically evaluating the trade-offs between equity, debt, and alternative sources, founders can construct a capital structure that supports long-term value creation. Mastery of this balance allows entrepreneurs to navigate the complexities of growth while maintaining the agility required to survive in competitive markets.</w:t>
      </w:r>
    </w:p>
    <w:p>
      <w:pPr>
        <w:spacing w:before="40" w:after="120" w:line="276" w:lineRule="auto"/>
        <w:ind w:left="0" w:right="0" w:firstLine="0"/>
        <w:jc w:val="left"/>
      </w:pPr>
      <w:r>
        <w:rPr>
          <w:rFonts w:ascii="Arial" w:hAnsi="Arial"/>
          <w:color w:val="1E1E1E"/>
          <w:sz w:val="21"/>
        </w:rPr>
        <w:t>Ultimately, the most successful startups are those that treat capital structure as a dynamic tool rather than a static constraint. Through rigorous planning and disciplined allocation, leaders ensure that their financial decisions remain in lockstep with their organizational vision. This strategic alignment serves as the bedrock for enduring business success and sustainable competitive advantage.</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