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64" w:lineRule="auto"/>
        <w:ind w:left="0" w:right="0" w:firstLine="0"/>
        <w:jc w:val="left"/>
      </w:pPr>
      <w:r>
        <w:rPr>
          <w:rFonts w:ascii="Arial" w:hAnsi="Arial"/>
          <w:b/>
          <w:color w:val="111827"/>
          <w:sz w:val="32"/>
        </w:rPr>
        <w:t>Week 14</w:t>
      </w:r>
    </w:p>
    <w:p>
      <w:pPr>
        <w:spacing w:before="0" w:after="240" w:line="288" w:lineRule="auto"/>
        <w:ind w:left="0" w:right="0" w:firstLine="0"/>
        <w:jc w:val="left"/>
        <w:pBdr>
          <w:bottom w:val="single" w:sz="6" w:space="6" w:color="D0D5DD"/>
        </w:pBdr>
      </w:pPr>
      <w:r>
        <w:rPr>
          <w:rFonts w:ascii="Arial" w:hAnsi="Arial"/>
          <w:b/>
          <w:color w:val="111827"/>
          <w:sz w:val="23"/>
        </w:rPr>
        <w:t>Annual Requirement = 48000 units, Ordering cost = Rs.9, Carrying Cost 15% per unit cost , Per Unit Cost = Rs.4. a) What is the most economical number of units to order? b) How many orders should be placed in a year? c) How often should an order be placed?</w:t>
      </w:r>
    </w:p>
    <w:p>
      <w:pPr>
        <w:spacing w:before="40" w:after="120" w:line="276" w:lineRule="auto"/>
        <w:ind w:left="0" w:right="0" w:firstLine="0"/>
        <w:jc w:val="left"/>
      </w:pPr>
      <w:r>
        <w:rPr>
          <w:rFonts w:ascii="Arial" w:hAnsi="Arial"/>
          <w:color w:val="1E1E1E"/>
          <w:sz w:val="21"/>
        </w:rPr>
        <w:t>The Economic Order Quantity (EOQ) model remains a fundamental cornerstone of inventory management and classical logistics theory, serving as a mathematical heuristic designed to identify the optimal order size that minimizes total inventory costs. Originally developed by Ford W. Harris in 1913 and later refined by R.H. Wilson, the model operates on the premise that there is an inherent trade-off between the costs associated with placing an order and the costs associated with holding that inventory in stock. According to Stevenson (2021), the EOQ framework provides a systematic approach for organizations to balance these competing financial pressures, ensuring that capital is not unnecessarily tied up in excess stock while simultaneously avoiding the administrative burdens and shipping expenses of overly frequent procurement cycles. By calculating the point where the incremental cost of carrying one additional unit of inventory equals the incremental savings from reduced ordering frequency, the EOQ model establishes a baseline for operational efficiency across various industrial sectors.</w:t>
      </w:r>
    </w:p>
    <w:p>
      <w:pPr>
        <w:spacing w:before="40" w:after="120" w:line="276" w:lineRule="auto"/>
        <w:ind w:left="0" w:right="0" w:firstLine="0"/>
        <w:jc w:val="left"/>
      </w:pPr>
      <w:r>
        <w:rPr>
          <w:rFonts w:ascii="Arial" w:hAnsi="Arial"/>
          <w:color w:val="1E1E1E"/>
          <w:sz w:val="21"/>
        </w:rPr>
        <w:t>In practical application, the EOQ model functions as a vital decision-support tool for procurement officers and supply chain managers who must navigate the complexities of demand fulfillment. It requires the synthesis of several data points: annual demand volume, the fixed cost per order, and the variable cost of holding inventory, which is often expressed as a percentage of the unit’s purchase price. In the specific scenario provided, where the annual requirement is 48,000 units, the ordering cost is Rs. 9, and the carrying cost is 15% of the Rs. 4 unit cost (equating to Rs. 0.60 per unit), the model provides a definitive roadmap for purchasing. By applying the square root formula—$\sqrt{(2 \times \text{Annual Demand} \times \text{Ordering Cost}) / \text{Carrying Cost}}$—the organization can derive that the most economical number of units to order is exactly 1,200 units per order. This calculation ensures that the firm avoids the "inventory trap" of holding too much stock, which incurs high storage and insurance costs, or ordering too little, which leads to excessive transactional expenses and potential stockouts.</w:t>
      </w:r>
    </w:p>
    <w:p>
      <w:pPr>
        <w:keepNext/>
        <w:spacing w:before="220" w:after="100" w:line="276" w:lineRule="auto"/>
        <w:ind w:left="0" w:right="0" w:firstLine="0"/>
        <w:jc w:val="left"/>
      </w:pPr>
      <w:r>
        <w:rPr>
          <w:rFonts w:ascii="Arial" w:hAnsi="Arial"/>
          <w:b/>
          <w:color w:val="111827"/>
          <w:sz w:val="25"/>
        </w:rPr>
        <w:t>Core Pillars of Economic Order Quantity</w:t>
      </w:r>
    </w:p>
    <w:p>
      <w:pPr>
        <w:spacing w:before="40" w:after="100" w:line="276" w:lineRule="auto"/>
        <w:ind w:left="461" w:right="0" w:hanging="317"/>
        <w:jc w:val="left"/>
      </w:pPr>
      <w:r>
        <w:rPr>
          <w:rFonts w:ascii="Arial" w:hAnsi="Arial"/>
          <w:b/>
          <w:sz w:val="21"/>
        </w:rPr>
        <w:t xml:space="preserve">1. </w:t>
      </w:r>
      <w:r>
        <w:rPr>
          <w:rFonts w:ascii="Arial" w:hAnsi="Arial"/>
          <w:b/>
          <w:color w:val="1E1E1E"/>
          <w:sz w:val="21"/>
        </w:rPr>
        <w:t>Cost Equilibrium and Minimization:</w:t>
      </w:r>
      <w:r>
        <w:rPr>
          <w:rFonts w:ascii="Arial" w:hAnsi="Arial"/>
          <w:color w:val="1E1E1E"/>
          <w:sz w:val="21"/>
        </w:rPr>
        <w:t xml:space="preserve"> The primary pillar of the EOQ model is the identification of the mathematical equilibrium between ordering costs and carrying costs. Ordering costs include the administrative labor of processing a purchase order, inspection fees, and fixed transportation charges, all of which decrease on a per-unit basis as the order size increases. Conversely, carrying costs—comprising warehousing, insurance, obsolescence, and the opportunity cost of capital—increase linearly with the size of the inventory held. The EOQ identifies the specific volume where the sum of these two divergent cost curves is at its absolute minimum, providing a quantifiable target for financial optimization.</w:t>
      </w:r>
    </w:p>
    <w:p>
      <w:pPr>
        <w:spacing w:before="40" w:after="100" w:line="276" w:lineRule="auto"/>
        <w:ind w:left="461" w:right="0" w:hanging="317"/>
        <w:jc w:val="left"/>
      </w:pPr>
      <w:r>
        <w:rPr>
          <w:rFonts w:ascii="Arial" w:hAnsi="Arial"/>
          <w:b/>
          <w:sz w:val="21"/>
        </w:rPr>
        <w:t xml:space="preserve">2. </w:t>
      </w:r>
      <w:r>
        <w:rPr>
          <w:rFonts w:ascii="Arial" w:hAnsi="Arial"/>
          <w:b/>
          <w:color w:val="1E1E1E"/>
          <w:sz w:val="21"/>
        </w:rPr>
        <w:t>Predictive Demand and Lead Time Consistency:</w:t>
      </w:r>
      <w:r>
        <w:rPr>
          <w:rFonts w:ascii="Arial" w:hAnsi="Arial"/>
          <w:color w:val="1E1E1E"/>
          <w:sz w:val="21"/>
        </w:rPr>
        <w:t xml:space="preserve"> A second pillar involves the assumption of constant demand and instantaneous replenishment, which allows for a stabilized procurement schedule. While modern adaptations account for variability, the core framework relies on the premise that the 48,000 units required annually will be consumed at a steady rate. This consistency enables the calculation of the number of orders (40 per year) and the frequency of those orders (approximately every 9.125 days). By assuming lead time is zero or a known constant, leaders can synchronize their supply chain activities to ensure that new stock arrives precisely as the previous cycle’s inventory is exhausted, thereby maintaining a "sawtooth" inventory pattern.</w:t>
      </w:r>
    </w:p>
    <w:p>
      <w:pPr>
        <w:spacing w:before="40" w:after="100" w:line="276" w:lineRule="auto"/>
        <w:ind w:left="461" w:right="0" w:hanging="317"/>
        <w:jc w:val="left"/>
      </w:pPr>
      <w:r>
        <w:rPr>
          <w:rFonts w:ascii="Arial" w:hAnsi="Arial"/>
          <w:b/>
          <w:sz w:val="21"/>
        </w:rPr>
        <w:t xml:space="preserve">3. </w:t>
      </w:r>
      <w:r>
        <w:rPr>
          <w:rFonts w:ascii="Arial" w:hAnsi="Arial"/>
          <w:b/>
          <w:color w:val="1E1E1E"/>
          <w:sz w:val="21"/>
        </w:rPr>
        <w:t>Capital Allocation and Liquidity Management:</w:t>
      </w:r>
      <w:r>
        <w:rPr>
          <w:rFonts w:ascii="Arial" w:hAnsi="Arial"/>
          <w:color w:val="1E1E1E"/>
          <w:sz w:val="21"/>
        </w:rPr>
        <w:t xml:space="preserve"> The third pillar focuses on the strategic preservation of working capital through disciplined inventory levels. By ordering 1,200 units at a time rather than purchasing the entire 48,000 units at once, the organization significantly reduces the amount of cash frozen in physical goods. This liquidity is essential for maintaining the firm’s ability to respond to market opportunities or unforeseen expenses. In this framework, the carrying cost of 15% represents not just the physical storage of the Rs. 4 units, but also the financial cost of not having that money available for other investments, making EOQ a tool for broader corporate financial health.</w:t>
      </w:r>
    </w:p>
    <w:p>
      <w:pPr>
        <w:keepNext/>
        <w:spacing w:before="220" w:after="100" w:line="276" w:lineRule="auto"/>
        <w:ind w:left="0" w:right="0" w:firstLine="0"/>
        <w:jc w:val="left"/>
      </w:pPr>
      <w:r>
        <w:rPr>
          <w:rFonts w:ascii="Arial" w:hAnsi="Arial"/>
          <w:b/>
          <w:color w:val="111827"/>
          <w:sz w:val="25"/>
        </w:rPr>
        <w:t>Importance of EOQ in Contemporary Business: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Optimization of Warehouse Throughput:</w:t>
      </w:r>
      <w:r>
        <w:rPr>
          <w:rFonts w:ascii="Arial" w:hAnsi="Arial"/>
          <w:color w:val="1E1E1E"/>
          <w:sz w:val="21"/>
        </w:rPr>
        <w:t xml:space="preserve"> By utilizing EOQ, companies like Amazon can maximize the utility of their floor space by ensuring that products do not sit stagnant for extended periods. This systematic approach prevents "dead stock" and ensures that high-velocity items move through the fulfillment center at a pace that matches consumer demand.</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Reduction in Procurement Overhead:</w:t>
      </w:r>
      <w:r>
        <w:rPr>
          <w:rFonts w:ascii="Arial" w:hAnsi="Arial"/>
          <w:color w:val="1E1E1E"/>
          <w:sz w:val="21"/>
        </w:rPr>
        <w:t xml:space="preserve"> Large-scale manufacturing firms, such as Toyota, use EOQ principles to streamline their administrative workflows by automating reorder points based on optimal quantities. This reduces the need for constant manual intervention in the purchasing process, allowing human capital to focus on strategic supplier relationship management rather than routine transactions.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Mitigation of Financial Risk:</w:t>
      </w:r>
      <w:r>
        <w:rPr>
          <w:rFonts w:ascii="Arial" w:hAnsi="Arial"/>
          <w:color w:val="1E1E1E"/>
          <w:sz w:val="21"/>
        </w:rPr>
        <w:t xml:space="preserve"> In industries with high obsolescence rates, such as consumer electronics, companies like Apple apply EOQ to minimize the risk of being left with outdated components. By ordering in calculated batches, they ensure that the inventory on hand is fresh and that the financial exposure to market shifts or technological advancements is strictly controlled.</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Enhanced Supply Chain Resilience:</w:t>
      </w:r>
      <w:r>
        <w:rPr>
          <w:rFonts w:ascii="Arial" w:hAnsi="Arial"/>
          <w:color w:val="1E1E1E"/>
          <w:sz w:val="21"/>
        </w:rPr>
        <w:t xml:space="preserve"> Retail giants like Walmart leverage EOQ-based data to coordinate with suppliers for more predictable delivery schedules. By knowing exactly how often an order should be placed (every 9 days in the provided scenario), both the buyer and the supplier can optimize their logistics networks, reducing the likelihood of bottlenecks and ensuring a steady flow of goods to the end consumer.</w:t>
      </w:r>
    </w:p>
    <w:p>
      <w:pPr>
        <w:keepNext/>
        <w:spacing w:before="220" w:after="100" w:line="276" w:lineRule="auto"/>
        <w:ind w:left="0" w:right="0" w:firstLine="0"/>
        <w:jc w:val="left"/>
      </w:pPr>
      <w:r>
        <w:rPr>
          <w:rFonts w:ascii="Arial" w:hAnsi="Arial"/>
          <w:b/>
          <w:color w:val="111827"/>
          <w:sz w:val="25"/>
        </w:rPr>
        <w:t>Comparative Analysis: EOQ vs. Alternative Frameworks</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cantSplit/>
          <w:tblHeader/>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Dimension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EOQ Model</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Just-In-Time (JIT)</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MRP Systems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ABC Analysis</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Primary Objective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Minimizing total inventory costs.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Eliminating waste and inventory.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Coordinating complex production.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Categorizing items by value.</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Demand Pattern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Stable and predictable demand.</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High-frequency, low-volume pull.</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Dependent demand for components.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Variable across item categories.</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Inventory Level</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Maintains calculated buffer stock.</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Aims for near-zero inventory.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Based on production requirements.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High for A, low for C.</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Cost Focus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Balancing ordering and holding.</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Reducing setup and lead times.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Optimizing manufacturing resources.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Maximizing ROI on stock.</w:t>
            </w:r>
          </w:p>
        </w:tc>
      </w:tr>
    </w:tbl>
    <w:p>
      <w:pPr>
        <w:spacing w:before="0" w:after="80" w:line="276" w:lineRule="auto"/>
        <w:ind w:left="0" w:right="0" w:firstLine="0"/>
        <w:jc w:val="left"/>
      </w:pPr>
    </w:p>
    <w:p>
      <w:pPr>
        <w:keepNext/>
        <w:spacing w:before="220" w:after="100" w:line="276" w:lineRule="auto"/>
        <w:ind w:left="0" w:right="0" w:firstLine="0"/>
        <w:jc w:val="left"/>
      </w:pPr>
      <w:r>
        <w:rPr>
          <w:rFonts w:ascii="Arial" w:hAnsi="Arial"/>
          <w:b/>
          <w:color w:val="111827"/>
          <w:sz w:val="25"/>
        </w:rPr>
        <w:t>How Leaders Effectively Harness EOQ Within Organizations:</w:t>
      </w:r>
    </w:p>
    <w:p>
      <w:pPr>
        <w:spacing w:before="40" w:after="120" w:line="276" w:lineRule="auto"/>
        <w:ind w:left="0" w:right="0" w:firstLine="0"/>
        <w:jc w:val="left"/>
      </w:pPr>
      <w:r>
        <w:rPr>
          <w:rFonts w:ascii="Arial" w:hAnsi="Arial"/>
          <w:color w:val="1E1E1E"/>
          <w:sz w:val="21"/>
        </w:rPr>
        <w:t>Successful implementation of the EOQ model requires more than just a one-time calculation; it necessitates an integrated approach to data and operations.</w:t>
      </w:r>
    </w:p>
    <w:p>
      <w:pPr>
        <w:keepNext/>
        <w:spacing w:before="180" w:after="60" w:line="276" w:lineRule="auto"/>
        <w:ind w:left="0" w:right="0" w:firstLine="0"/>
        <w:jc w:val="left"/>
      </w:pPr>
      <w:r>
        <w:rPr>
          <w:rFonts w:ascii="Arial" w:hAnsi="Arial"/>
          <w:b/>
          <w:color w:val="111827"/>
          <w:sz w:val="22"/>
        </w:rPr>
        <w:t>1. Integration with Enterprise Resource Planning (ERP)</w:t>
      </w:r>
    </w:p>
    <w:p>
      <w:pPr>
        <w:spacing w:before="40" w:after="120" w:line="276" w:lineRule="auto"/>
        <w:ind w:left="0" w:right="0" w:firstLine="0"/>
        <w:jc w:val="left"/>
      </w:pPr>
      <w:r>
        <w:rPr>
          <w:rFonts w:ascii="Arial" w:hAnsi="Arial"/>
          <w:color w:val="1E1E1E"/>
          <w:sz w:val="21"/>
        </w:rPr>
        <w:t>Leaders must ensure that the EOQ formula is embedded within the organization’s digital infrastructure to allow for real-time adjustments.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Automated Reordering:</w:t>
      </w:r>
      <w:r>
        <w:rPr>
          <w:rFonts w:ascii="Arial" w:hAnsi="Arial"/>
          <w:color w:val="1E1E1E"/>
          <w:sz w:val="21"/>
        </w:rPr>
        <w:t xml:space="preserve"> Systems should trigger purchase orders automatically when inventory hits the reorder point.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Data Accuracy:</w:t>
      </w:r>
      <w:r>
        <w:rPr>
          <w:rFonts w:ascii="Arial" w:hAnsi="Arial"/>
          <w:color w:val="1E1E1E"/>
          <w:sz w:val="21"/>
        </w:rPr>
        <w:t xml:space="preserve"> Maintaining precise records of annual demand and unit costs is critical for the formula’s validity.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Dynamic Updating:</w:t>
      </w:r>
      <w:r>
        <w:rPr>
          <w:rFonts w:ascii="Arial" w:hAnsi="Arial"/>
          <w:color w:val="1E1E1E"/>
          <w:sz w:val="21"/>
        </w:rPr>
        <w:t xml:space="preserve"> ERPs should adjust EOQ values as carrying costs fluctuate with interest rate changes.</w:t>
      </w:r>
    </w:p>
    <w:p>
      <w:pPr>
        <w:keepNext/>
        <w:spacing w:before="180" w:after="60" w:line="276" w:lineRule="auto"/>
        <w:ind w:left="0" w:right="0" w:firstLine="0"/>
        <w:jc w:val="left"/>
      </w:pPr>
      <w:r>
        <w:rPr>
          <w:rFonts w:ascii="Arial" w:hAnsi="Arial"/>
          <w:b/>
          <w:color w:val="111827"/>
          <w:sz w:val="22"/>
        </w:rPr>
        <w:t>2. Strategic Supplier Alignment</w:t>
      </w:r>
    </w:p>
    <w:p>
      <w:pPr>
        <w:spacing w:before="40" w:after="120" w:line="276" w:lineRule="auto"/>
        <w:ind w:left="0" w:right="0" w:firstLine="0"/>
        <w:jc w:val="left"/>
      </w:pPr>
      <w:r>
        <w:rPr>
          <w:rFonts w:ascii="Arial" w:hAnsi="Arial"/>
          <w:color w:val="1E1E1E"/>
          <w:sz w:val="21"/>
        </w:rPr>
        <w:t>The mathematical output of an EOQ calculation must be reconciled with the realities of the supplier’s capabilities and constraints.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Negotiating Batch Sizes:</w:t>
      </w:r>
      <w:r>
        <w:rPr>
          <w:rFonts w:ascii="Arial" w:hAnsi="Arial"/>
          <w:color w:val="1E1E1E"/>
          <w:sz w:val="21"/>
        </w:rPr>
        <w:t xml:space="preserve"> Leaders use EOQ data to negotiate minimum order quantities (MOQs) that align with the 1,200-unit optimum.</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Lead Time Synchronization:</w:t>
      </w:r>
      <w:r>
        <w:rPr>
          <w:rFonts w:ascii="Arial" w:hAnsi="Arial"/>
          <w:color w:val="1E1E1E"/>
          <w:sz w:val="21"/>
        </w:rPr>
        <w:t xml:space="preserve"> Communicating the 9-day order frequency to suppliers allows them to stabilize their own production.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Volume Discounts:</w:t>
      </w:r>
      <w:r>
        <w:rPr>
          <w:rFonts w:ascii="Arial" w:hAnsi="Arial"/>
          <w:color w:val="1E1E1E"/>
          <w:sz w:val="21"/>
        </w:rPr>
        <w:t xml:space="preserve"> Managers must evaluate if a supplier’s bulk discount outweighs the increased carrying costs of exceeding the EOQ.</w:t>
      </w:r>
    </w:p>
    <w:p>
      <w:pPr>
        <w:keepNext/>
        <w:spacing w:before="180" w:after="60" w:line="276" w:lineRule="auto"/>
        <w:ind w:left="0" w:right="0" w:firstLine="0"/>
        <w:jc w:val="left"/>
      </w:pPr>
      <w:r>
        <w:rPr>
          <w:rFonts w:ascii="Arial" w:hAnsi="Arial"/>
          <w:b/>
          <w:color w:val="111827"/>
          <w:sz w:val="22"/>
        </w:rPr>
        <w:t>3. Advanced Demand Forecasting</w:t>
      </w:r>
    </w:p>
    <w:p>
      <w:pPr>
        <w:spacing w:before="40" w:after="120" w:line="276" w:lineRule="auto"/>
        <w:ind w:left="0" w:right="0" w:firstLine="0"/>
        <w:jc w:val="left"/>
      </w:pPr>
      <w:r>
        <w:rPr>
          <w:rFonts w:ascii="Arial" w:hAnsi="Arial"/>
          <w:color w:val="1E1E1E"/>
          <w:sz w:val="21"/>
        </w:rPr>
        <w:t>The reliability of the "48,000 units" figure is the foundation upon which the entire EOQ structure is built, requiring sophisticated predictive analytics.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Seasonal Adjustments:</w:t>
      </w:r>
      <w:r>
        <w:rPr>
          <w:rFonts w:ascii="Arial" w:hAnsi="Arial"/>
          <w:color w:val="1E1E1E"/>
          <w:sz w:val="21"/>
        </w:rPr>
        <w:t xml:space="preserve"> Leaders apply smoothing techniques to account for periods where demand might spike above the average.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Market Intelligence:</w:t>
      </w:r>
      <w:r>
        <w:rPr>
          <w:rFonts w:ascii="Arial" w:hAnsi="Arial"/>
          <w:color w:val="1E1E1E"/>
          <w:sz w:val="21"/>
        </w:rPr>
        <w:t xml:space="preserve"> Incorporating external economic indicators helps refine the annual requirement figure.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Historical Analysis:</w:t>
      </w:r>
      <w:r>
        <w:rPr>
          <w:rFonts w:ascii="Arial" w:hAnsi="Arial"/>
          <w:color w:val="1E1E1E"/>
          <w:sz w:val="21"/>
        </w:rPr>
        <w:t xml:space="preserve"> Using past performance data ensures that the demand input is grounded in empirical reality.</w:t>
      </w:r>
    </w:p>
    <w:p>
      <w:pPr>
        <w:keepNext/>
        <w:spacing w:before="180" w:after="60" w:line="276" w:lineRule="auto"/>
        <w:ind w:left="0" w:right="0" w:firstLine="0"/>
        <w:jc w:val="left"/>
      </w:pPr>
      <w:r>
        <w:rPr>
          <w:rFonts w:ascii="Arial" w:hAnsi="Arial"/>
          <w:b/>
          <w:color w:val="111827"/>
          <w:sz w:val="22"/>
        </w:rPr>
        <w:t>4. Holistic Cost Accounting</w:t>
      </w:r>
    </w:p>
    <w:p>
      <w:pPr>
        <w:spacing w:before="40" w:after="120" w:line="276" w:lineRule="auto"/>
        <w:ind w:left="0" w:right="0" w:firstLine="0"/>
        <w:jc w:val="left"/>
      </w:pPr>
      <w:r>
        <w:rPr>
          <w:rFonts w:ascii="Arial" w:hAnsi="Arial"/>
          <w:color w:val="1E1E1E"/>
          <w:sz w:val="21"/>
        </w:rPr>
        <w:t>To truly harness EOQ, leaders must look beyond the purchase price and consider the "hidden" costs of inventory management.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Accurate Carrying Costs:</w:t>
      </w:r>
      <w:r>
        <w:rPr>
          <w:rFonts w:ascii="Arial" w:hAnsi="Arial"/>
          <w:color w:val="1E1E1E"/>
          <w:sz w:val="21"/>
        </w:rPr>
        <w:t xml:space="preserve"> This includes calculating the specific utility, insurance, and labor costs of the warehouse space.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Refined Ordering Costs:</w:t>
      </w:r>
      <w:r>
        <w:rPr>
          <w:rFonts w:ascii="Arial" w:hAnsi="Arial"/>
          <w:color w:val="1E1E1E"/>
          <w:sz w:val="21"/>
        </w:rPr>
        <w:t xml:space="preserve"> Managers must quantify the total time spent by the procurement team on a single order cycle.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Opportunity Cost Evaluation:</w:t>
      </w:r>
      <w:r>
        <w:rPr>
          <w:rFonts w:ascii="Arial" w:hAnsi="Arial"/>
          <w:color w:val="1E1E1E"/>
          <w:sz w:val="21"/>
        </w:rPr>
        <w:t xml:space="preserve"> Assessing what else the capital could earn if not tied up in 1,200 units of stock.</w:t>
      </w:r>
    </w:p>
    <w:p>
      <w:pPr>
        <w:keepNext/>
        <w:spacing w:before="180" w:after="60" w:line="276" w:lineRule="auto"/>
        <w:ind w:left="0" w:right="0" w:firstLine="0"/>
        <w:jc w:val="left"/>
      </w:pPr>
      <w:r>
        <w:rPr>
          <w:rFonts w:ascii="Arial" w:hAnsi="Arial"/>
          <w:b/>
          <w:color w:val="111827"/>
          <w:sz w:val="22"/>
        </w:rPr>
        <w:t>5. Risk and Safety Stock Calibration</w:t>
      </w:r>
    </w:p>
    <w:p>
      <w:pPr>
        <w:spacing w:before="40" w:after="120" w:line="276" w:lineRule="auto"/>
        <w:ind w:left="0" w:right="0" w:firstLine="0"/>
        <w:jc w:val="left"/>
      </w:pPr>
      <w:r>
        <w:rPr>
          <w:rFonts w:ascii="Arial" w:hAnsi="Arial"/>
          <w:color w:val="1E1E1E"/>
          <w:sz w:val="21"/>
        </w:rPr>
        <w:t>While the standard EOQ assumes consistency, effective leaders integrate safety stock to protect against the volatility of the real world.</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Buffer Integration:</w:t>
      </w:r>
      <w:r>
        <w:rPr>
          <w:rFonts w:ascii="Arial" w:hAnsi="Arial"/>
          <w:color w:val="1E1E1E"/>
          <w:sz w:val="21"/>
        </w:rPr>
        <w:t xml:space="preserve"> Adding a safety margin to the EOQ-determined reorder point prevents stockouts during delivery delays.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Service Level Targets:</w:t>
      </w:r>
      <w:r>
        <w:rPr>
          <w:rFonts w:ascii="Arial" w:hAnsi="Arial"/>
          <w:color w:val="1E1E1E"/>
          <w:sz w:val="21"/>
        </w:rPr>
        <w:t xml:space="preserve"> Aligning the order frequency with the desired customer service level (e.g., 99% availability).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Contingency Planning:</w:t>
      </w:r>
      <w:r>
        <w:rPr>
          <w:rFonts w:ascii="Arial" w:hAnsi="Arial"/>
          <w:color w:val="1E1E1E"/>
          <w:sz w:val="21"/>
        </w:rPr>
        <w:t xml:space="preserve"> Developing secondary supply sources if the 9-day order cycle is disrupted by external shocks.</w:t>
      </w:r>
    </w:p>
    <w:p>
      <w:pPr>
        <w:keepNext/>
        <w:spacing w:before="220" w:after="100" w:line="276" w:lineRule="auto"/>
        <w:ind w:left="0" w:right="0" w:firstLine="0"/>
        <w:jc w:val="left"/>
      </w:pPr>
      <w:r>
        <w:rPr>
          <w:rFonts w:ascii="Arial" w:hAnsi="Arial"/>
          <w:b/>
          <w:color w:val="111827"/>
          <w:sz w:val="25"/>
        </w:rPr>
        <w:t>Conclusion</w:t>
      </w:r>
    </w:p>
    <w:p>
      <w:pPr>
        <w:spacing w:before="40" w:after="120" w:line="276" w:lineRule="auto"/>
        <w:ind w:left="0" w:right="0" w:firstLine="0"/>
        <w:jc w:val="left"/>
      </w:pPr>
      <w:r>
        <w:rPr>
          <w:rFonts w:ascii="Arial" w:hAnsi="Arial"/>
          <w:color w:val="1E1E1E"/>
          <w:sz w:val="21"/>
        </w:rPr>
        <w:t>The calculation for the provided scenario demonstrates that the most economical order quantity is 1,200 units, resulting in 40 orders per year placed approximately every 9 days. This mathematical precision allows an organization to navigate the delicate balance between excessive ordering expenses and the heavy financial burden of carrying surplus inventory. By adhering to these calculated metrics, a business can ensure that its procurement strategy is rooted in cost-minimization logic rather than intuition or guesswork.</w:t>
      </w:r>
    </w:p>
    <w:p>
      <w:pPr>
        <w:spacing w:before="40" w:after="120" w:line="276" w:lineRule="auto"/>
        <w:ind w:left="0" w:right="0" w:firstLine="0"/>
        <w:jc w:val="left"/>
      </w:pPr>
      <w:r>
        <w:rPr>
          <w:rFonts w:ascii="Arial" w:hAnsi="Arial"/>
          <w:color w:val="1E1E1E"/>
          <w:sz w:val="21"/>
        </w:rPr>
        <w:t>Ultimately, the EOQ model serves as a vital framework for enhancing organizational liquidity and operational throughput in a competitive marketplace. While modern supply chains are increasingly complex, the core principles of balancing transactional and holding costs remain as relevant today as they were a century ago. Leaders who master the application of EOQ, while remaining flexible to market shifts, position their organizations to achieve superior financial performance and long-term sustainability.</w:t>
      </w:r>
    </w:p>
    <w:sectPr w:rsidR="00FC165B" w:rsidRPr="007B5F68" w:rsidSect="00302B84">
      <w:pgSz w:w="12240" w:h="15840"/>
      <w:pgMar w:top="1224" w:right="1296" w:bottom="1224" w:left="1296"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024"/>
    <w:multiLevelType w:val="hybridMultilevel"/>
    <w:tmpl w:val="E00CE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CF06E0"/>
    <w:multiLevelType w:val="multilevel"/>
    <w:tmpl w:val="ED98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84AF1"/>
    <w:multiLevelType w:val="multilevel"/>
    <w:tmpl w:val="9780B0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B66C2"/>
    <w:multiLevelType w:val="multilevel"/>
    <w:tmpl w:val="EFCE5E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A7209"/>
    <w:multiLevelType w:val="multilevel"/>
    <w:tmpl w:val="288A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83AAC"/>
    <w:multiLevelType w:val="multilevel"/>
    <w:tmpl w:val="450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C50F3"/>
    <w:multiLevelType w:val="multilevel"/>
    <w:tmpl w:val="8D34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A7495"/>
    <w:multiLevelType w:val="multilevel"/>
    <w:tmpl w:val="A73052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D3561B"/>
    <w:multiLevelType w:val="multilevel"/>
    <w:tmpl w:val="47922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A78F9"/>
    <w:multiLevelType w:val="multilevel"/>
    <w:tmpl w:val="62F8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D5789"/>
    <w:multiLevelType w:val="multilevel"/>
    <w:tmpl w:val="B73627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A7DB1"/>
    <w:multiLevelType w:val="multilevel"/>
    <w:tmpl w:val="71B214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E08DA"/>
    <w:multiLevelType w:val="multilevel"/>
    <w:tmpl w:val="A8A0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71A6D"/>
    <w:multiLevelType w:val="multilevel"/>
    <w:tmpl w:val="F37ED7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3A527D"/>
    <w:multiLevelType w:val="multilevel"/>
    <w:tmpl w:val="87F06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287B79"/>
    <w:multiLevelType w:val="multilevel"/>
    <w:tmpl w:val="2DD486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F65E65"/>
    <w:multiLevelType w:val="multilevel"/>
    <w:tmpl w:val="186A0C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77370F"/>
    <w:multiLevelType w:val="multilevel"/>
    <w:tmpl w:val="CCA0CE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2E42169"/>
    <w:multiLevelType w:val="multilevel"/>
    <w:tmpl w:val="CE900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FB4838"/>
    <w:multiLevelType w:val="multilevel"/>
    <w:tmpl w:val="94480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D6066"/>
    <w:multiLevelType w:val="multilevel"/>
    <w:tmpl w:val="03BE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A1858"/>
    <w:multiLevelType w:val="multilevel"/>
    <w:tmpl w:val="27DE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B0F71"/>
    <w:multiLevelType w:val="multilevel"/>
    <w:tmpl w:val="15BAE9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AC05E6"/>
    <w:multiLevelType w:val="multilevel"/>
    <w:tmpl w:val="F34668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345626"/>
    <w:multiLevelType w:val="multilevel"/>
    <w:tmpl w:val="5A90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13DAF"/>
    <w:multiLevelType w:val="multilevel"/>
    <w:tmpl w:val="2816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CD17C2"/>
    <w:multiLevelType w:val="multilevel"/>
    <w:tmpl w:val="3FEC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D51B5"/>
    <w:multiLevelType w:val="multilevel"/>
    <w:tmpl w:val="8CEE0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62F64"/>
    <w:multiLevelType w:val="multilevel"/>
    <w:tmpl w:val="A4D28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587708"/>
    <w:multiLevelType w:val="multilevel"/>
    <w:tmpl w:val="6F4292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8A739D"/>
    <w:multiLevelType w:val="multilevel"/>
    <w:tmpl w:val="54FA5B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8C091C"/>
    <w:multiLevelType w:val="multilevel"/>
    <w:tmpl w:val="2CDC7F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D71DE9"/>
    <w:multiLevelType w:val="multilevel"/>
    <w:tmpl w:val="5E9299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A801C3"/>
    <w:multiLevelType w:val="multilevel"/>
    <w:tmpl w:val="7958C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9363F"/>
    <w:multiLevelType w:val="multilevel"/>
    <w:tmpl w:val="9CE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110C4"/>
    <w:multiLevelType w:val="multilevel"/>
    <w:tmpl w:val="B098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C6383"/>
    <w:multiLevelType w:val="multilevel"/>
    <w:tmpl w:val="C8A0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9720D9"/>
    <w:multiLevelType w:val="hybridMultilevel"/>
    <w:tmpl w:val="ADF03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EBB6B5B"/>
    <w:multiLevelType w:val="multilevel"/>
    <w:tmpl w:val="7F60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111A3"/>
    <w:multiLevelType w:val="multilevel"/>
    <w:tmpl w:val="98321C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C4371F"/>
    <w:multiLevelType w:val="multilevel"/>
    <w:tmpl w:val="B0E6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DB38B8"/>
    <w:multiLevelType w:val="multilevel"/>
    <w:tmpl w:val="5AE204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C40D7B"/>
    <w:multiLevelType w:val="multilevel"/>
    <w:tmpl w:val="D362EA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598518">
    <w:abstractNumId w:val="1"/>
  </w:num>
  <w:num w:numId="2" w16cid:durableId="670528377">
    <w:abstractNumId w:val="28"/>
  </w:num>
  <w:num w:numId="3" w16cid:durableId="1016690764">
    <w:abstractNumId w:val="22"/>
  </w:num>
  <w:num w:numId="4" w16cid:durableId="51125554">
    <w:abstractNumId w:val="31"/>
  </w:num>
  <w:num w:numId="5" w16cid:durableId="1258251590">
    <w:abstractNumId w:val="23"/>
  </w:num>
  <w:num w:numId="6" w16cid:durableId="1258060744">
    <w:abstractNumId w:val="42"/>
  </w:num>
  <w:num w:numId="7" w16cid:durableId="952054237">
    <w:abstractNumId w:val="2"/>
  </w:num>
  <w:num w:numId="8" w16cid:durableId="1391538452">
    <w:abstractNumId w:val="14"/>
  </w:num>
  <w:num w:numId="9" w16cid:durableId="459030562">
    <w:abstractNumId w:val="7"/>
  </w:num>
  <w:num w:numId="10" w16cid:durableId="1821994618">
    <w:abstractNumId w:val="10"/>
  </w:num>
  <w:num w:numId="11" w16cid:durableId="73012113">
    <w:abstractNumId w:val="3"/>
  </w:num>
  <w:num w:numId="12" w16cid:durableId="1258100749">
    <w:abstractNumId w:val="30"/>
  </w:num>
  <w:num w:numId="13" w16cid:durableId="1210992578">
    <w:abstractNumId w:val="32"/>
  </w:num>
  <w:num w:numId="14" w16cid:durableId="1400010011">
    <w:abstractNumId w:val="16"/>
  </w:num>
  <w:num w:numId="15" w16cid:durableId="633416108">
    <w:abstractNumId w:val="37"/>
  </w:num>
  <w:num w:numId="16" w16cid:durableId="1019965587">
    <w:abstractNumId w:val="0"/>
  </w:num>
  <w:num w:numId="17" w16cid:durableId="1263298069">
    <w:abstractNumId w:val="17"/>
  </w:num>
  <w:num w:numId="18" w16cid:durableId="1310014315">
    <w:abstractNumId w:val="41"/>
  </w:num>
  <w:num w:numId="19" w16cid:durableId="1719863394">
    <w:abstractNumId w:val="13"/>
  </w:num>
  <w:num w:numId="20" w16cid:durableId="1310135211">
    <w:abstractNumId w:val="29"/>
  </w:num>
  <w:num w:numId="21" w16cid:durableId="9648127">
    <w:abstractNumId w:val="15"/>
  </w:num>
  <w:num w:numId="22" w16cid:durableId="2106341260">
    <w:abstractNumId w:val="39"/>
  </w:num>
  <w:num w:numId="23" w16cid:durableId="451098979">
    <w:abstractNumId w:val="11"/>
  </w:num>
  <w:num w:numId="24" w16cid:durableId="1061706933">
    <w:abstractNumId w:val="26"/>
  </w:num>
  <w:num w:numId="25" w16cid:durableId="925651870">
    <w:abstractNumId w:val="38"/>
  </w:num>
  <w:num w:numId="26" w16cid:durableId="586840388">
    <w:abstractNumId w:val="4"/>
  </w:num>
  <w:num w:numId="27" w16cid:durableId="1113212369">
    <w:abstractNumId w:val="40"/>
  </w:num>
  <w:num w:numId="28" w16cid:durableId="490341337">
    <w:abstractNumId w:val="34"/>
  </w:num>
  <w:num w:numId="29" w16cid:durableId="167185278">
    <w:abstractNumId w:val="9"/>
  </w:num>
  <w:num w:numId="30" w16cid:durableId="1908833286">
    <w:abstractNumId w:val="6"/>
  </w:num>
  <w:num w:numId="31" w16cid:durableId="856624995">
    <w:abstractNumId w:val="19"/>
  </w:num>
  <w:num w:numId="32" w16cid:durableId="1688360996">
    <w:abstractNumId w:val="27"/>
  </w:num>
  <w:num w:numId="33" w16cid:durableId="609509849">
    <w:abstractNumId w:val="24"/>
  </w:num>
  <w:num w:numId="34" w16cid:durableId="1809325446">
    <w:abstractNumId w:val="8"/>
  </w:num>
  <w:num w:numId="35" w16cid:durableId="1578436602">
    <w:abstractNumId w:val="33"/>
  </w:num>
  <w:num w:numId="36" w16cid:durableId="422796640">
    <w:abstractNumId w:val="20"/>
  </w:num>
  <w:num w:numId="37" w16cid:durableId="2059935866">
    <w:abstractNumId w:val="21"/>
  </w:num>
  <w:num w:numId="38" w16cid:durableId="193154135">
    <w:abstractNumId w:val="18"/>
  </w:num>
  <w:num w:numId="39" w16cid:durableId="511989419">
    <w:abstractNumId w:val="35"/>
  </w:num>
  <w:num w:numId="40" w16cid:durableId="1097678224">
    <w:abstractNumId w:val="36"/>
  </w:num>
  <w:num w:numId="41" w16cid:durableId="1584341188">
    <w:abstractNumId w:val="5"/>
  </w:num>
  <w:num w:numId="42" w16cid:durableId="1088579031">
    <w:abstractNumId w:val="25"/>
  </w:num>
  <w:num w:numId="43" w16cid:durableId="2130934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362"/>
    <w:rsid w:val="00072017"/>
    <w:rsid w:val="00075991"/>
    <w:rsid w:val="00301D1C"/>
    <w:rsid w:val="00302B84"/>
    <w:rsid w:val="00374B7B"/>
    <w:rsid w:val="00467FCC"/>
    <w:rsid w:val="0059074B"/>
    <w:rsid w:val="005D6F6B"/>
    <w:rsid w:val="005F6838"/>
    <w:rsid w:val="006B1362"/>
    <w:rsid w:val="00763FDB"/>
    <w:rsid w:val="007B5F68"/>
    <w:rsid w:val="0095502B"/>
    <w:rsid w:val="00AF19FB"/>
    <w:rsid w:val="00B52A64"/>
    <w:rsid w:val="00BF12AB"/>
    <w:rsid w:val="00CD3C2A"/>
    <w:rsid w:val="00D74422"/>
    <w:rsid w:val="00E912B6"/>
    <w:rsid w:val="00F6060E"/>
    <w:rsid w:val="00F936C5"/>
    <w:rsid w:val="00FC1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047B"/>
  <w15:chartTrackingRefBased/>
  <w15:docId w15:val="{203352DD-5FD0-48A1-AF77-0F084CFB2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362"/>
    <w:rPr>
      <w:rFonts w:eastAsiaTheme="majorEastAsia" w:cstheme="majorBidi"/>
      <w:color w:val="272727" w:themeColor="text1" w:themeTint="D8"/>
    </w:rPr>
  </w:style>
  <w:style w:type="paragraph" w:styleId="Title">
    <w:name w:val="Title"/>
    <w:basedOn w:val="Normal"/>
    <w:next w:val="Normal"/>
    <w:link w:val="TitleChar"/>
    <w:uiPriority w:val="10"/>
    <w:qFormat/>
    <w:rsid w:val="006B1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362"/>
    <w:pPr>
      <w:spacing w:before="160"/>
      <w:jc w:val="center"/>
    </w:pPr>
    <w:rPr>
      <w:i/>
      <w:iCs/>
      <w:color w:val="404040" w:themeColor="text1" w:themeTint="BF"/>
    </w:rPr>
  </w:style>
  <w:style w:type="character" w:customStyle="1" w:styleId="QuoteChar">
    <w:name w:val="Quote Char"/>
    <w:basedOn w:val="DefaultParagraphFont"/>
    <w:link w:val="Quote"/>
    <w:uiPriority w:val="29"/>
    <w:rsid w:val="006B1362"/>
    <w:rPr>
      <w:i/>
      <w:iCs/>
      <w:color w:val="404040" w:themeColor="text1" w:themeTint="BF"/>
    </w:rPr>
  </w:style>
  <w:style w:type="paragraph" w:styleId="ListParagraph">
    <w:name w:val="List Paragraph"/>
    <w:basedOn w:val="Normal"/>
    <w:uiPriority w:val="34"/>
    <w:qFormat/>
    <w:rsid w:val="006B1362"/>
    <w:pPr>
      <w:ind w:left="720"/>
      <w:contextualSpacing/>
    </w:pPr>
  </w:style>
  <w:style w:type="character" w:styleId="IntenseEmphasis">
    <w:name w:val="Intense Emphasis"/>
    <w:basedOn w:val="DefaultParagraphFont"/>
    <w:uiPriority w:val="21"/>
    <w:qFormat/>
    <w:rsid w:val="006B1362"/>
    <w:rPr>
      <w:i/>
      <w:iCs/>
      <w:color w:val="0F4761" w:themeColor="accent1" w:themeShade="BF"/>
    </w:rPr>
  </w:style>
  <w:style w:type="paragraph" w:styleId="IntenseQuote">
    <w:name w:val="Intense Quote"/>
    <w:basedOn w:val="Normal"/>
    <w:next w:val="Normal"/>
    <w:link w:val="IntenseQuoteChar"/>
    <w:uiPriority w:val="30"/>
    <w:qFormat/>
    <w:rsid w:val="006B1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362"/>
    <w:rPr>
      <w:i/>
      <w:iCs/>
      <w:color w:val="0F4761" w:themeColor="accent1" w:themeShade="BF"/>
    </w:rPr>
  </w:style>
  <w:style w:type="character" w:styleId="IntenseReference">
    <w:name w:val="Intense Reference"/>
    <w:basedOn w:val="DefaultParagraphFont"/>
    <w:uiPriority w:val="32"/>
    <w:qFormat/>
    <w:rsid w:val="006B1362"/>
    <w:rPr>
      <w:b/>
      <w:bCs/>
      <w:smallCaps/>
      <w:color w:val="0F4761" w:themeColor="accent1" w:themeShade="BF"/>
      <w:spacing w:val="5"/>
    </w:rPr>
  </w:style>
  <w:style w:type="paragraph" w:styleId="NormalWeb">
    <w:name w:val="Normal (Web)"/>
    <w:basedOn w:val="Normal"/>
    <w:uiPriority w:val="99"/>
    <w:semiHidden/>
    <w:unhideWhenUsed/>
    <w:rsid w:val="00FC165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7B5F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Aravinth S</dc:creator>
  <cp:keywords/>
  <dc:description/>
  <cp:lastModifiedBy>Aravinth S</cp:lastModifiedBy>
  <cp:revision>12</cp:revision>
  <dcterms:created xsi:type="dcterms:W3CDTF">2026-08-29T09:07:00Z</dcterms:created>
  <dcterms:modified xsi:type="dcterms:W3CDTF">2026-09-20T16:18:00Z</dcterms:modified>
</cp:coreProperties>
</file>