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15</w:t>
      </w:r>
    </w:p>
    <w:p>
      <w:pPr>
        <w:spacing w:before="0" w:after="240" w:line="288" w:lineRule="auto"/>
        <w:ind w:left="0" w:right="0" w:firstLine="0"/>
        <w:jc w:val="left"/>
        <w:pBdr>
          <w:bottom w:val="single" w:sz="6" w:space="6" w:color="D0D5DD"/>
        </w:pBdr>
      </w:pPr>
      <w:r>
        <w:rPr>
          <w:rFonts w:ascii="Arial" w:hAnsi="Arial"/>
          <w:b/>
          <w:color w:val="111827"/>
          <w:sz w:val="23"/>
        </w:rPr>
        <w:t>Explain in detail about all the elements of working capital?</w:t>
      </w:r>
    </w:p>
    <w:p>
      <w:pPr>
        <w:spacing w:before="40" w:after="120" w:line="276" w:lineRule="auto"/>
        <w:ind w:left="0" w:right="0" w:firstLine="0"/>
        <w:jc w:val="left"/>
      </w:pPr>
      <w:r>
        <w:rPr>
          <w:rFonts w:ascii="Arial" w:hAnsi="Arial"/>
          <w:color w:val="1E1E1E"/>
          <w:sz w:val="21"/>
        </w:rPr>
        <w:t>Working capital represents the fundamental metric of a firm’s operational liquidity and short-term financial health, serving as the bridge between long-term strategic investments and day-to-day functional requirements. Formally, working capital is defined as the difference between a company’s current assets and its current liabilities, reflecting the extent to which a firm can cover its immediate obligations with assets expected to be converted into cash within a single operating cycle or fiscal year (Brigham &amp; Houston, 2021). This quantitative measure provides a snapshot of the efficiency with which a business manages its circulating capital, illustrating the delicate balance between maintaining sufficient liquidity to avoid insolvency and minimizing idle resources that could otherwise be deployed for value-generative activities. A robust working capital position indicates that a company can comfortably fund its operations, meet its short-term debt obligations, and invest in immediate growth opportunities without resorting to expensive external financing.</w:t>
      </w:r>
    </w:p>
    <w:p>
      <w:pPr>
        <w:spacing w:before="40" w:after="120" w:line="276" w:lineRule="auto"/>
        <w:ind w:left="0" w:right="0" w:firstLine="0"/>
        <w:jc w:val="left"/>
      </w:pPr>
      <w:r>
        <w:rPr>
          <w:rFonts w:ascii="Arial" w:hAnsi="Arial"/>
          <w:color w:val="1E1E1E"/>
          <w:sz w:val="21"/>
        </w:rPr>
        <w:t>In operational practice, working capital functions as the circulatory system of the enterprise, facilitating the continuous flow of resources from procurement to production, and ultimately to sales and cash realization. It is not a static figure but a dynamic equilibrium influenced by credit policies, inventory management techniques, and supplier negotiation strengths. When a firm maintains an optimal level of working capital, it ensures that the production cycle remains uninterrupted by cash shortages or supply chain bottlenecks. Conversely, an imbalance—whether in the form of excessive inventory or delayed receivables—can lead to capital being "trapped" in the operating cycle, thereby reducing the firm’s overall return on investment and increasing the risk of liquidity crises. Effective management thus requires a constant orchestration of various short-term accounts to synchronize the timing of cash inflows and outflows.</w:t>
      </w:r>
    </w:p>
    <w:p>
      <w:pPr>
        <w:keepNext/>
        <w:spacing w:before="220" w:after="100" w:line="276" w:lineRule="auto"/>
        <w:ind w:left="0" w:right="0" w:firstLine="0"/>
        <w:jc w:val="left"/>
      </w:pPr>
      <w:r>
        <w:rPr>
          <w:rFonts w:ascii="Arial" w:hAnsi="Arial"/>
          <w:b/>
          <w:color w:val="111827"/>
          <w:sz w:val="25"/>
        </w:rPr>
        <w:t>Core Pillars of Working Capital</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The Asset Dimension: Composition and Liquidity of Current Resources:</w:t>
      </w:r>
      <w:r>
        <w:rPr>
          <w:rFonts w:ascii="Arial" w:hAnsi="Arial"/>
          <w:color w:val="1E1E1E"/>
          <w:sz w:val="21"/>
        </w:rPr>
        <w:t xml:space="preserve"> The primary pillar of working capital involves the strategic management of current assets, which encompass cash, cash equivalents, accounts receivable, and inventory. This pillar focuses on the "liquidity" aspect of the balance sheet, where the objective is to ensure that assets are high-quality and convertible to cash within a short timeframe. Cash and marketable securities provide the immediate buffer against unforeseen expenditures, while accounts receivable represent the credit extended to customers that must be efficiently collected to sustain operations. Inventory, often the least liquid component, requires careful calibration to avoid obsolescence and excessive storage costs while ensuring that customer demand is met without delay. The interplay between these components determines the "Gross Working Capital," reflecting the total volume of funds committed to the operating cycle at any given moment.</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The Liability Dimension: Management of Short-term Obligations and Financing:</w:t>
      </w:r>
      <w:r>
        <w:rPr>
          <w:rFonts w:ascii="Arial" w:hAnsi="Arial"/>
          <w:color w:val="1E1E1E"/>
          <w:sz w:val="21"/>
        </w:rPr>
        <w:t xml:space="preserve"> The second pillar centers on current liabilities, which include accounts payable, short-term loans, accrued expenses, and the current portion of long-term debt. This dimension represents the "financing" side of the working capital equation, where the firm leverages credit from suppliers and lenders to fund its current assets. Effective management of this pillar involves optimizing the "payables period" to maximize the use of interest-free supplier credit without damaging relationships or incurring late fees. By strategically delaying outflows and utilizing short-term credit facilities, a firm can reduce its "Net Working Capital" requirement, thereby freeing up cash for other strategic purposes. The stability of this pillar is contingent upon the firm’s creditworthiness and its ability to maintain a consistent cash flow to meet these recurring obligations as they fall due.</w:t>
      </w:r>
    </w:p>
    <w:p>
      <w:pPr>
        <w:keepNext/>
        <w:spacing w:before="220" w:after="100" w:line="276" w:lineRule="auto"/>
        <w:ind w:left="0" w:right="0" w:firstLine="0"/>
        <w:jc w:val="left"/>
      </w:pPr>
      <w:r>
        <w:rPr>
          <w:rFonts w:ascii="Arial" w:hAnsi="Arial"/>
          <w:b/>
          <w:color w:val="111827"/>
          <w:sz w:val="25"/>
        </w:rPr>
        <w:t>Importance of Working Capital in Contemporary Business</w:t>
      </w:r>
    </w:p>
    <w:p>
      <w:pPr>
        <w:spacing w:before="40" w:after="120" w:line="276" w:lineRule="auto"/>
        <w:ind w:left="0" w:right="0" w:firstLine="0"/>
        <w:jc w:val="left"/>
      </w:pPr>
      <w:r>
        <w:rPr>
          <w:rFonts w:ascii="Arial" w:hAnsi="Arial"/>
          <w:color w:val="1E1E1E"/>
          <w:sz w:val="21"/>
        </w:rPr>
        <w:t>The strategic management of working capital is a critical determinant of corporate resilience and competitive advantage: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Liquidity Maintenance and Insolvency Mitigation:</w:t>
      </w:r>
      <w:r>
        <w:rPr>
          <w:rFonts w:ascii="Arial" w:hAnsi="Arial"/>
          <w:color w:val="1E1E1E"/>
          <w:sz w:val="21"/>
        </w:rPr>
        <w:t xml:space="preserve"> Maintaining adequate working capital ensures that a firm can meet its immediate financial obligations, such as payroll and utility payments, even during periods of revenue volatility. For example, during the global supply chain disruptions of 2021, companies like Delta Airlines relied on robust working capital reserves to sustain operations despite a temporary collapse in passenger demand.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Operational Efficiency and Value Chain Optimization:</w:t>
      </w:r>
      <w:r>
        <w:rPr>
          <w:rFonts w:ascii="Arial" w:hAnsi="Arial"/>
          <w:color w:val="1E1E1E"/>
          <w:sz w:val="21"/>
        </w:rPr>
        <w:t xml:space="preserve"> Efficient working capital management minimizes the time capital is tied up in the operating cycle, thereby improving the firm's internal rate of return. Retail giants like Walmart utilize sophisticated inventory systems to achieve high turnover rates, effectively using their scale to maintain negative working capital where suppliers essentially finance the inventory on the shelves.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Enhancement of Creditworthiness and Negotiating Power:</w:t>
      </w:r>
      <w:r>
        <w:rPr>
          <w:rFonts w:ascii="Arial" w:hAnsi="Arial"/>
          <w:color w:val="1E1E1E"/>
          <w:sz w:val="21"/>
        </w:rPr>
        <w:t xml:space="preserve"> A strong working capital position improves a firm’s credit rating, allowing it to secure better terms from lenders and favorable discounts from suppliers for early payments. Apple Inc. maintains a massive cash cushion that not only protects it from market shifts but also provides the leverage needed to negotiate exclusive, low-cost supply contracts for critical components.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Support for Strategic Growth and Market Agility:</w:t>
      </w:r>
      <w:r>
        <w:rPr>
          <w:rFonts w:ascii="Arial" w:hAnsi="Arial"/>
          <w:color w:val="1E1E1E"/>
          <w:sz w:val="21"/>
        </w:rPr>
        <w:t xml:space="preserve"> Sufficient working capital provides the "dry powder" necessary to capitalize on sudden market opportunities, such as acquiring a distressed competitor or launching a new product line. Tesla’s ability to rapidly scale its production facilities often hinges on its capacity to manage short-term cash flows and receivables to fund immediate capital expenditures without constant equity dilution.</w:t>
      </w:r>
    </w:p>
    <w:p>
      <w:pPr>
        <w:keepNext/>
        <w:spacing w:before="220" w:after="100" w:line="276" w:lineRule="auto"/>
        <w:ind w:left="0" w:right="0" w:firstLine="0"/>
        <w:jc w:val="left"/>
      </w:pPr>
      <w:r>
        <w:rPr>
          <w:rFonts w:ascii="Arial" w:hAnsi="Arial"/>
          <w:b/>
          <w:color w:val="111827"/>
          <w:sz w:val="25"/>
        </w:rPr>
        <w:t>Comparative Analysis: Working Capital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Working Capital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Fixed Capital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Venture Capital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Debt Financing</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Purpose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Funding daily operations and short-term liquidity needs.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Investing in long-term infrastructure and productive assets.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Financing high-growth startups with equity for ownership.</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Raising capital through loans with fixed repayment terms.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Time Horizon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Short-term, typically within one fiscal year cycle.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Long-term, spanning several years or decades.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Long-term, focused on exit through IPO/sale.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Fixed duration based on the loan agreement.</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Risk Profile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Low to moderate risk regarding liquidity management.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risk due to asset illiquidity and depreciation.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Extremely high risk focused on business failure.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Moderate risk related to interest and repayment.</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Source of Funds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Internal operations and short-term supplier credit.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Long-term debt, retained earnings, or equity.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Private investors, angels, and specialized VC firms.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Banks, bond markets, and private institutional lenders.</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Working Capital Within Organizations</w:t>
      </w:r>
    </w:p>
    <w:p>
      <w:pPr>
        <w:spacing w:before="40" w:after="120" w:line="276" w:lineRule="auto"/>
        <w:ind w:left="0" w:right="0" w:firstLine="0"/>
        <w:jc w:val="left"/>
      </w:pPr>
      <w:r>
        <w:rPr>
          <w:rFonts w:ascii="Arial" w:hAnsi="Arial"/>
          <w:color w:val="1E1E1E"/>
          <w:sz w:val="21"/>
        </w:rPr>
        <w:t>Leaders must adopt a multi-faceted approach to manage the various elements of working capital to ensure organizational sustainability:</w:t>
      </w:r>
    </w:p>
    <w:p>
      <w:pPr>
        <w:keepNext/>
        <w:spacing w:before="180" w:after="60" w:line="276" w:lineRule="auto"/>
        <w:ind w:left="0" w:right="0" w:firstLine="0"/>
        <w:jc w:val="left"/>
      </w:pPr>
      <w:r>
        <w:rPr>
          <w:rFonts w:ascii="Arial" w:hAnsi="Arial"/>
          <w:b/>
          <w:color w:val="111827"/>
          <w:sz w:val="22"/>
        </w:rPr>
        <w:t>1. Optimization of Inventory Management Systems</w:t>
      </w:r>
    </w:p>
    <w:p>
      <w:pPr>
        <w:spacing w:before="40" w:after="120" w:line="276" w:lineRule="auto"/>
        <w:ind w:left="0" w:right="0" w:firstLine="0"/>
        <w:jc w:val="left"/>
      </w:pPr>
      <w:r>
        <w:rPr>
          <w:rFonts w:ascii="Arial" w:hAnsi="Arial"/>
          <w:color w:val="1E1E1E"/>
          <w:sz w:val="21"/>
        </w:rPr>
        <w:t>Executives implement rigorous controls to balance the costs of holding inventory against the risks of stockouts.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Just-in-Time (JIT) Implementation:</w:t>
      </w:r>
      <w:r>
        <w:rPr>
          <w:rFonts w:ascii="Arial" w:hAnsi="Arial"/>
          <w:color w:val="1E1E1E"/>
          <w:sz w:val="21"/>
        </w:rPr>
        <w:t xml:space="preserve"> Leaders utilize JIT systems to minimize warehouse costs and reduce the amount of capital tied up in raw materials.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ABC Analysis Categorization:</w:t>
      </w:r>
      <w:r>
        <w:rPr>
          <w:rFonts w:ascii="Arial" w:hAnsi="Arial"/>
          <w:color w:val="1E1E1E"/>
          <w:sz w:val="21"/>
        </w:rPr>
        <w:t xml:space="preserve"> Management prioritizes resources by categorizing inventory based on value and turnover frequency to focus on high-impact items.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Deadstock Liquidation Protocols:</w:t>
      </w:r>
      <w:r>
        <w:rPr>
          <w:rFonts w:ascii="Arial" w:hAnsi="Arial"/>
          <w:color w:val="1E1E1E"/>
          <w:sz w:val="21"/>
        </w:rPr>
        <w:t xml:space="preserve"> Organizations establish clear guidelines for identifying and discounting obsolete inventory to recover trapped cash quickly.</w:t>
      </w:r>
    </w:p>
    <w:p>
      <w:pPr>
        <w:keepNext/>
        <w:spacing w:before="180" w:after="60" w:line="276" w:lineRule="auto"/>
        <w:ind w:left="0" w:right="0" w:firstLine="0"/>
        <w:jc w:val="left"/>
      </w:pPr>
      <w:r>
        <w:rPr>
          <w:rFonts w:ascii="Arial" w:hAnsi="Arial"/>
          <w:b/>
          <w:color w:val="111827"/>
          <w:sz w:val="22"/>
        </w:rPr>
        <w:t>2. Streamlining Accounts Receivable Collections</w:t>
      </w:r>
    </w:p>
    <w:p>
      <w:pPr>
        <w:spacing w:before="40" w:after="120" w:line="276" w:lineRule="auto"/>
        <w:ind w:left="0" w:right="0" w:firstLine="0"/>
        <w:jc w:val="left"/>
      </w:pPr>
      <w:r>
        <w:rPr>
          <w:rFonts w:ascii="Arial" w:hAnsi="Arial"/>
          <w:color w:val="1E1E1E"/>
          <w:sz w:val="21"/>
        </w:rPr>
        <w:t>Effective leaders prioritize the rapid conversion of credit sales into cash through proactive credit management policies.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Rigorous Credit Scoring:</w:t>
      </w:r>
      <w:r>
        <w:rPr>
          <w:rFonts w:ascii="Arial" w:hAnsi="Arial"/>
          <w:color w:val="1E1E1E"/>
          <w:sz w:val="21"/>
        </w:rPr>
        <w:t xml:space="preserve"> Firms employ data-driven models to assess customer creditworthiness before extending terms, reducing the risk of bad debt.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Early Payment Incentives:</w:t>
      </w:r>
      <w:r>
        <w:rPr>
          <w:rFonts w:ascii="Arial" w:hAnsi="Arial"/>
          <w:color w:val="1E1E1E"/>
          <w:sz w:val="21"/>
        </w:rPr>
        <w:t xml:space="preserve"> Leaders offer small percentage discounts (e.g., 2/10, net 30) to encourage customers to settle invoices well before the due date.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Automated Dunning Processes:</w:t>
      </w:r>
      <w:r>
        <w:rPr>
          <w:rFonts w:ascii="Arial" w:hAnsi="Arial"/>
          <w:color w:val="1E1E1E"/>
          <w:sz w:val="21"/>
        </w:rPr>
        <w:t xml:space="preserve"> Management integrates automated reminder systems to follow up on overdue accounts, ensuring consistent cash inflows without manual overhead.</w:t>
      </w:r>
    </w:p>
    <w:p>
      <w:pPr>
        <w:keepNext/>
        <w:spacing w:before="180" w:after="60" w:line="276" w:lineRule="auto"/>
        <w:ind w:left="0" w:right="0" w:firstLine="0"/>
        <w:jc w:val="left"/>
      </w:pPr>
      <w:r>
        <w:rPr>
          <w:rFonts w:ascii="Arial" w:hAnsi="Arial"/>
          <w:b/>
          <w:color w:val="111827"/>
          <w:sz w:val="22"/>
        </w:rPr>
        <w:t>3. Strategic Extension of Accounts Payable</w:t>
      </w:r>
    </w:p>
    <w:p>
      <w:pPr>
        <w:spacing w:before="40" w:after="120" w:line="276" w:lineRule="auto"/>
        <w:ind w:left="0" w:right="0" w:firstLine="0"/>
        <w:jc w:val="left"/>
      </w:pPr>
      <w:r>
        <w:rPr>
          <w:rFonts w:ascii="Arial" w:hAnsi="Arial"/>
          <w:color w:val="1E1E1E"/>
          <w:sz w:val="21"/>
        </w:rPr>
        <w:t>Organizations leverage their purchasing power to maximize the duration of interest-free credit provided by suppliers.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Negotiation of Extended Terms:</w:t>
      </w:r>
      <w:r>
        <w:rPr>
          <w:rFonts w:ascii="Arial" w:hAnsi="Arial"/>
          <w:color w:val="1E1E1E"/>
          <w:sz w:val="21"/>
        </w:rPr>
        <w:t xml:space="preserve"> Procurement leaders work to align payment terms with the company’s own collection cycle to achieve a "cash-neutral" state.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Supply Chain Financing:</w:t>
      </w:r>
      <w:r>
        <w:rPr>
          <w:rFonts w:ascii="Arial" w:hAnsi="Arial"/>
          <w:color w:val="1E1E1E"/>
          <w:sz w:val="21"/>
        </w:rPr>
        <w:t xml:space="preserve"> Large firms often implement programs where banks pay suppliers early at a discount, allowing the firm to keep its cash longer.</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Electronic Funds Transfer (EFT) Timing:</w:t>
      </w:r>
      <w:r>
        <w:rPr>
          <w:rFonts w:ascii="Arial" w:hAnsi="Arial"/>
          <w:color w:val="1E1E1E"/>
          <w:sz w:val="21"/>
        </w:rPr>
        <w:t xml:space="preserve"> Finance teams use precise scheduling of electronic payments to ensure funds leave the account only at the latest possible moment.</w:t>
      </w:r>
    </w:p>
    <w:p>
      <w:pPr>
        <w:keepNext/>
        <w:spacing w:before="180" w:after="60" w:line="276" w:lineRule="auto"/>
        <w:ind w:left="0" w:right="0" w:firstLine="0"/>
        <w:jc w:val="left"/>
      </w:pPr>
      <w:r>
        <w:rPr>
          <w:rFonts w:ascii="Arial" w:hAnsi="Arial"/>
          <w:b/>
          <w:color w:val="111827"/>
          <w:sz w:val="22"/>
        </w:rPr>
        <w:t>4. Dynamic Cash Flow Forecasting and Buffer Management</w:t>
      </w:r>
    </w:p>
    <w:p>
      <w:pPr>
        <w:spacing w:before="40" w:after="120" w:line="276" w:lineRule="auto"/>
        <w:ind w:left="0" w:right="0" w:firstLine="0"/>
        <w:jc w:val="left"/>
      </w:pPr>
      <w:r>
        <w:rPr>
          <w:rFonts w:ascii="Arial" w:hAnsi="Arial"/>
          <w:color w:val="1E1E1E"/>
          <w:sz w:val="21"/>
        </w:rPr>
        <w:t>Leaders use predictive analytics to anticipate periods of cash surplus or deficit and plan accordingly.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Rolling 12-Month Forecasts:</w:t>
      </w:r>
      <w:r>
        <w:rPr>
          <w:rFonts w:ascii="Arial" w:hAnsi="Arial"/>
          <w:color w:val="1E1E1E"/>
          <w:sz w:val="21"/>
        </w:rPr>
        <w:t xml:space="preserve"> Management maintains updated projections that account for seasonal fluctuations and planned capital expenditures to avoid liquidity shocks.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Liquidity Ratio Monitoring:</w:t>
      </w:r>
      <w:r>
        <w:rPr>
          <w:rFonts w:ascii="Arial" w:hAnsi="Arial"/>
          <w:color w:val="1E1E1E"/>
          <w:sz w:val="21"/>
        </w:rPr>
        <w:t xml:space="preserve"> Executives track the Current Ratio and Quick Ratio weekly to ensure the firm remains within healthy industry benchmarks.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Contingency Credit Lines:</w:t>
      </w:r>
      <w:r>
        <w:rPr>
          <w:rFonts w:ascii="Arial" w:hAnsi="Arial"/>
          <w:color w:val="1E1E1E"/>
          <w:sz w:val="21"/>
        </w:rPr>
        <w:t xml:space="preserve"> Leaders establish "standby" revolving credit facilities with banks to provide a safety net during unexpected economic downturns.</w:t>
      </w:r>
    </w:p>
    <w:p>
      <w:pPr>
        <w:keepNext/>
        <w:spacing w:before="180" w:after="60" w:line="276" w:lineRule="auto"/>
        <w:ind w:left="0" w:right="0" w:firstLine="0"/>
        <w:jc w:val="left"/>
      </w:pPr>
      <w:r>
        <w:rPr>
          <w:rFonts w:ascii="Arial" w:hAnsi="Arial"/>
          <w:b/>
          <w:color w:val="111827"/>
          <w:sz w:val="22"/>
        </w:rPr>
        <w:t>5. Integration of ERP and Real-Time Financial Reporting</w:t>
      </w:r>
    </w:p>
    <w:p>
      <w:pPr>
        <w:spacing w:before="40" w:after="120" w:line="276" w:lineRule="auto"/>
        <w:ind w:left="0" w:right="0" w:firstLine="0"/>
        <w:jc w:val="left"/>
      </w:pPr>
      <w:r>
        <w:rPr>
          <w:rFonts w:ascii="Arial" w:hAnsi="Arial"/>
          <w:color w:val="1E1E1E"/>
          <w:sz w:val="21"/>
        </w:rPr>
        <w:t>Modern organizations utilize technology to gain a holistic view of the working capital cycle across different departments.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Centralized Data Dashboards:</w:t>
      </w:r>
      <w:r>
        <w:rPr>
          <w:rFonts w:ascii="Arial" w:hAnsi="Arial"/>
          <w:color w:val="1E1E1E"/>
          <w:sz w:val="21"/>
        </w:rPr>
        <w:t xml:space="preserve"> Leaders deploy Enterprise Resource Planning (ERP) systems that provide real-time visibility into inventory levels and outstanding receivables.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Inter-Departmental Coordination:</w:t>
      </w:r>
      <w:r>
        <w:rPr>
          <w:rFonts w:ascii="Arial" w:hAnsi="Arial"/>
          <w:color w:val="1E1E1E"/>
          <w:sz w:val="21"/>
        </w:rPr>
        <w:t xml:space="preserve"> Management ensures that sales, production, and finance teams share data to prevent overproduction and subsequent capital tie-up.</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AI-Driven Predictive Analytics:</w:t>
      </w:r>
      <w:r>
        <w:rPr>
          <w:rFonts w:ascii="Arial" w:hAnsi="Arial"/>
          <w:color w:val="1E1E1E"/>
          <w:sz w:val="21"/>
        </w:rPr>
        <w:t xml:space="preserve"> Advanced firms use machine learning to predict customer payment behaviors and demand spikes, allowing for more precise capital allocation.</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The effective management of working capital is not merely a clerical accounting task but a strategic imperative that dictates the operational viability and competitive positioning of a modern enterprise. By maintaining a meticulous balance between current assets and liabilities, organizations can ensure they possess the necessary liquidity to withstand market volatility while simultaneously optimizing their internal resources for maximum efficiency. The pillars of working capital—ranging from inventory control to receivables management—require a synchronized effort across the entire organizational hierarchy to prevent the stagnation of capital.</w:t>
      </w:r>
    </w:p>
    <w:p>
      <w:pPr>
        <w:spacing w:before="40" w:after="120" w:line="276" w:lineRule="auto"/>
        <w:ind w:left="0" w:right="0" w:firstLine="0"/>
        <w:jc w:val="left"/>
      </w:pPr>
      <w:r>
        <w:rPr>
          <w:rFonts w:ascii="Arial" w:hAnsi="Arial"/>
          <w:color w:val="1E1E1E"/>
          <w:sz w:val="21"/>
        </w:rPr>
        <w:t>Ultimately, the mastery of working capital elements allows leaders to transform the balance sheet from a static report into a dynamic tool for value creation. Companies that successfully navigate the complexities of the operating cycle are better equipped to pursue growth, satisfy stakeholder expectations, and maintain long-term financial stability. As global markets become increasingly interconnected and volatile, the ability to manage short-term financial health through robust working capital strategies will remain a defining characteristic of successful corporate governance.</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