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8</w:t>
      </w:r>
    </w:p>
    <w:p>
      <w:pPr>
        <w:spacing w:before="0" w:after="240" w:line="288" w:lineRule="auto"/>
        <w:ind w:left="0" w:right="0" w:firstLine="0"/>
        <w:jc w:val="left"/>
        <w:pBdr>
          <w:bottom w:val="single" w:sz="6" w:space="6" w:color="D0D5DD"/>
        </w:pBdr>
      </w:pPr>
      <w:r>
        <w:rPr>
          <w:rFonts w:ascii="Arial" w:hAnsi="Arial"/>
          <w:b/>
          <w:color w:val="111827"/>
          <w:sz w:val="23"/>
        </w:rPr>
        <w:t>Elucidate the concept of Leverages.</w:t>
      </w:r>
    </w:p>
    <w:p>
      <w:pPr>
        <w:spacing w:before="40" w:after="120" w:line="276" w:lineRule="auto"/>
        <w:ind w:left="0" w:right="0" w:firstLine="0"/>
        <w:jc w:val="left"/>
      </w:pPr>
      <w:r>
        <w:rPr>
          <w:rFonts w:ascii="Arial" w:hAnsi="Arial"/>
          <w:color w:val="1E1E1E"/>
          <w:sz w:val="21"/>
        </w:rPr>
        <w:t>In the study of corporate finance and strategic management, leverage represents the use of fixed costs or borrowed funds to magnify the potential returns on an investment or the overall profitability of a firm. According to Brigham and Houston (2021), leverage is defined as the employment of an asset or source of funds for which the firm pays a fixed cost or fixed return, thereby creating a mechanism where a change in sales results in a more than proportionate change in earnings. This concept is rooted in the principle of using a relatively small amount of one force—be it capital or operating expenditure—to move a much larger object, which in a commercial context is the firm’s net income and shareholder value. By decoupling the growth of expenses from the growth of revenue, leverage serves as a fundamental driver of financial performance and corporate valuation.</w:t>
      </w:r>
    </w:p>
    <w:p>
      <w:pPr>
        <w:spacing w:before="40" w:after="120" w:line="276" w:lineRule="auto"/>
        <w:ind w:left="0" w:right="0" w:firstLine="0"/>
        <w:jc w:val="left"/>
      </w:pPr>
      <w:r>
        <w:rPr>
          <w:rFonts w:ascii="Arial" w:hAnsi="Arial"/>
          <w:color w:val="1E1E1E"/>
          <w:sz w:val="21"/>
        </w:rPr>
        <w:t>In operational practice, leverage functions as a sophisticated force multiplier that dictates the sensitivity of a company’s bottom line to its top-line fluctuations. When a firm maintains high fixed operating costs or significant debt obligations, it establishes a high break-even point that, once surpassed, allows incremental revenue to flow directly to net profit with minimal additional expense. However, this structural advantage is inherently symmetrical, meaning that during periods of economic contraction or declining sales, the same fixed obligations can rapidly accelerate losses and jeopardize the firm’s solvency. Consequently, the strategic management of leverage requires a meticulous balance between the pursuit of aggressive growth and the maintenance of a robust margin of safety to withstand market volatility.</w:t>
      </w:r>
    </w:p>
    <w:p>
      <w:pPr>
        <w:keepNext/>
        <w:spacing w:before="220" w:after="100" w:line="276" w:lineRule="auto"/>
        <w:ind w:left="0" w:right="0" w:firstLine="0"/>
        <w:jc w:val="left"/>
      </w:pPr>
      <w:r>
        <w:rPr>
          <w:rFonts w:ascii="Arial" w:hAnsi="Arial"/>
          <w:b/>
          <w:color w:val="111827"/>
          <w:sz w:val="25"/>
        </w:rPr>
        <w:t>Core Pillars of Leverages</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Operating Leverage:</w:t>
      </w:r>
      <w:r>
        <w:rPr>
          <w:rFonts w:ascii="Arial" w:hAnsi="Arial"/>
          <w:color w:val="1E1E1E"/>
          <w:sz w:val="21"/>
        </w:rPr>
        <w:t xml:space="preserve"> This dimension focuses on the relationship between a firm’s sales revenue and its earnings before interest and taxes (EBIT), primarily determined by the mix of fixed versus variable costs in the production process. A high degree of operating leverage (DOL) is common in capital-intensive industries, such as software development or heavy manufacturing, where initial investments in infrastructure and research are substantial, but the marginal cost of producing additional units is relatively low. When sales increase, firms with high operating leverage experience a rapid expansion in operating income because their fixed costs—such as rent, depreciation, and executive salaries—remain constant regardless of output levels.</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Financial Leverage:</w:t>
      </w:r>
      <w:r>
        <w:rPr>
          <w:rFonts w:ascii="Arial" w:hAnsi="Arial"/>
          <w:color w:val="1E1E1E"/>
          <w:sz w:val="21"/>
        </w:rPr>
        <w:t xml:space="preserve"> This pillar involves the strategic use of fixed-income securities, specifically debt and preferred equity, to finance a portion of the firm's assets in an effort to increase the return to common shareholders. The degree of financial leverage (DFL) measures how sensitive a company’s earnings per share (EPS) are to fluctuations in its operating income. By utilizing debt, which typically carries a lower cost than equity and offers tax-deductible interest payments, a firm can fund expansion without diluting existing ownership. However, this introduces financial risk, as the firm must generate sufficient EBIT to cover fixed interest charges, failing which it may face credit downgrades or bankruptcy.</w:t>
      </w:r>
    </w:p>
    <w:p>
      <w:pPr>
        <w:spacing w:before="40" w:after="100" w:line="276" w:lineRule="auto"/>
        <w:ind w:left="461" w:right="0" w:hanging="317"/>
        <w:jc w:val="left"/>
      </w:pPr>
      <w:r>
        <w:rPr>
          <w:rFonts w:ascii="Arial" w:hAnsi="Arial"/>
          <w:b/>
          <w:sz w:val="21"/>
        </w:rPr>
        <w:t xml:space="preserve">3. </w:t>
      </w:r>
      <w:r>
        <w:rPr>
          <w:rFonts w:ascii="Arial" w:hAnsi="Arial"/>
          <w:b/>
          <w:color w:val="1E1E1E"/>
          <w:sz w:val="21"/>
        </w:rPr>
        <w:t>Combined Leverage:</w:t>
      </w:r>
      <w:r>
        <w:rPr>
          <w:rFonts w:ascii="Arial" w:hAnsi="Arial"/>
          <w:color w:val="1E1E1E"/>
          <w:sz w:val="21"/>
        </w:rPr>
        <w:t xml:space="preserve"> Representing the total risk profile of the organization, combined leverage is the mathematical product of operating and financial leverage, illustrating the total impact of sales changes on earnings per share. This holistic view allows management to understand how the volatility of the business environment (operating risk) interacts with the volatility of the capital structure (financial risk). A firm might intentionally choose a low degree of financial leverage if its operating leverage is naturally high—as seen in the airline industry—to avoid an excessive accumulation of total risk that could alienate investors or lead to financial distress during cyclical downturns.</w:t>
      </w:r>
    </w:p>
    <w:p>
      <w:pPr>
        <w:keepNext/>
        <w:spacing w:before="220" w:after="100" w:line="276" w:lineRule="auto"/>
        <w:ind w:left="0" w:right="0" w:firstLine="0"/>
        <w:jc w:val="left"/>
      </w:pPr>
      <w:r>
        <w:rPr>
          <w:rFonts w:ascii="Arial" w:hAnsi="Arial"/>
          <w:b/>
          <w:color w:val="111827"/>
          <w:sz w:val="25"/>
        </w:rPr>
        <w:t>Importance of Leverages in Contemporary Business</w:t>
      </w:r>
    </w:p>
    <w:p>
      <w:pPr>
        <w:spacing w:before="40" w:after="120" w:line="276" w:lineRule="auto"/>
        <w:ind w:left="0" w:right="0" w:firstLine="0"/>
        <w:jc w:val="left"/>
      </w:pPr>
      <w:r>
        <w:rPr>
          <w:rFonts w:ascii="Arial" w:hAnsi="Arial"/>
          <w:color w:val="1E1E1E"/>
          <w:sz w:val="21"/>
        </w:rPr>
        <w:t>The strategic application of leverage is essential for navigating the complexities of modern global markets and optimizing corporate performance: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Capital Structure Optimization:</w:t>
      </w:r>
      <w:r>
        <w:rPr>
          <w:rFonts w:ascii="Arial" w:hAnsi="Arial"/>
          <w:color w:val="1E1E1E"/>
          <w:sz w:val="21"/>
        </w:rPr>
        <w:t xml:space="preserve"> Modern corporations use financial leverage to lower their Weighted Average Cost of Capital (WACC) by balancing cheap debt with more expensive equity. For example, telecommunications giants like AT&amp;T utilize significant debt to fund massive infrastructure projects, relying on steady cash flows to service interest while maximizing shareholder returns.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Profitability Amplification through Scale:</w:t>
      </w:r>
      <w:r>
        <w:rPr>
          <w:rFonts w:ascii="Arial" w:hAnsi="Arial"/>
          <w:color w:val="1E1E1E"/>
          <w:sz w:val="21"/>
        </w:rPr>
        <w:t xml:space="preserve"> Operating leverage allows technology firms to achieve exponential profit growth once their platforms reach a critical mass of users. Companies like Microsoft or Adobe demonstrate this by incurring high initial development costs but reaping near-total profit on every subsequent software license sold globally.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Valuation and Investor Signaling:</w:t>
      </w:r>
      <w:r>
        <w:rPr>
          <w:rFonts w:ascii="Arial" w:hAnsi="Arial"/>
          <w:color w:val="1E1E1E"/>
          <w:sz w:val="21"/>
        </w:rPr>
        <w:t xml:space="preserve"> The level of leverage employed by a firm serves as a signal to the market regarding management’s confidence in future cash flows. Aggressive use of leverage in private equity-backed leveraged buyouts (LBOs) signifies a belief that the target company can be streamlined to generate higher returns than the cost of the debt used to acquire it.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Mitigation and Strategic Agility:</w:t>
      </w:r>
      <w:r>
        <w:rPr>
          <w:rFonts w:ascii="Arial" w:hAnsi="Arial"/>
          <w:color w:val="1E1E1E"/>
          <w:sz w:val="21"/>
        </w:rPr>
        <w:t xml:space="preserve"> Understanding leverage helps leaders identify the "danger zone" of their cost structures during economic shifts. During the 2020 global pandemic, retailers with lower operating leverage—those using flexible third-party logistics rather than owned warehouses—were able to scale down costs more quickly than their highly leveraged competitors.</w:t>
      </w:r>
    </w:p>
    <w:p>
      <w:pPr>
        <w:keepNext/>
        <w:spacing w:before="220" w:after="100" w:line="276" w:lineRule="auto"/>
        <w:ind w:left="0" w:right="0" w:firstLine="0"/>
        <w:jc w:val="left"/>
      </w:pPr>
      <w:r>
        <w:rPr>
          <w:rFonts w:ascii="Arial" w:hAnsi="Arial"/>
          <w:b/>
          <w:color w:val="111827"/>
          <w:sz w:val="25"/>
        </w:rPr>
        <w:t>Comparative Analysis: Leverages vs. Alternative Frameworks</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Dimension</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Operating Leverage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Financial Leverage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Combined Leverage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De-leveraging Framework</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Primary Driver</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Fixed operating costs and production efficiency.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Debt-to-equity ratios and interest obligations.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Interaction between operating and financial structures.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Asset sales and aggressive debt repayment.</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Risk Source</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Business risk and market demand volatility.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Financial risk and interest rate fluctuations.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Total corporate risk and systemic instability.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Opportunity cost and potential growth stagnation.</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Key Metric</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Degree of Operating Leverage (DOL).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Degree of Financial Leverage (DFL).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Degree of Total Leverage (DTL).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Debt-to-EBITDA and Interest Coverage ratios.</w:t>
            </w:r>
          </w:p>
        </w:tc>
      </w:tr>
      <w:tr>
        <w:trPr>
          <w:cantSplit/>
        </w:trPr>
        <w:tc>
          <w:tcPr>
            <w:tcW w:type="dxa" w:w="1656"/>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b/>
                <w:color w:val="1E1E1E"/>
                <w:sz w:val="19"/>
              </w:rPr>
              <w:t>Strategic Goal</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 achieve economies of scale rapidly.</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 minimize WACC and boost EPS.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 balance total risk against returns.</w:t>
            </w:r>
          </w:p>
        </w:tc>
        <w:tc>
          <w:tcPr>
            <w:tcW w:type="dxa" w:w="199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tcPr>
          <w:p>
            <w:pPr>
              <w:spacing w:before="20" w:after="20" w:line="264" w:lineRule="auto"/>
              <w:ind w:left="0" w:right="0" w:firstLine="0"/>
              <w:jc w:val="left"/>
            </w:pPr>
            <w:r>
              <w:rPr>
                <w:rFonts w:ascii="Arial" w:hAnsi="Arial"/>
                <w:color w:val="1E1E1E"/>
                <w:sz w:val="19"/>
              </w:rPr>
              <w:t>To restore solvency and financial flexibility.</w:t>
            </w:r>
          </w:p>
        </w:tc>
      </w:tr>
    </w:tbl>
    <w:p>
      <w:pPr>
        <w:spacing w:before="0" w:after="80" w:line="276" w:lineRule="auto"/>
        <w:ind w:left="0" w:right="0" w:firstLine="0"/>
        <w:jc w:val="left"/>
      </w:pPr>
    </w:p>
    <w:p>
      <w:pPr>
        <w:keepNext/>
        <w:spacing w:before="220" w:after="100" w:line="276" w:lineRule="auto"/>
        <w:ind w:left="0" w:right="0" w:firstLine="0"/>
        <w:jc w:val="left"/>
      </w:pPr>
      <w:r>
        <w:rPr>
          <w:rFonts w:ascii="Arial" w:hAnsi="Arial"/>
          <w:b/>
          <w:color w:val="111827"/>
          <w:sz w:val="25"/>
        </w:rPr>
        <w:t>How Leaders Effectively Harness Leverages Within Organizations</w:t>
      </w:r>
    </w:p>
    <w:p>
      <w:pPr>
        <w:spacing w:before="40" w:after="120" w:line="276" w:lineRule="auto"/>
        <w:ind w:left="0" w:right="0" w:firstLine="0"/>
        <w:jc w:val="left"/>
      </w:pPr>
      <w:r>
        <w:rPr>
          <w:rFonts w:ascii="Arial" w:hAnsi="Arial"/>
          <w:color w:val="1E1E1E"/>
          <w:sz w:val="21"/>
        </w:rPr>
        <w:t>Effective leadership requires a nuanced understanding of how to manipulate leverage to drive sustainable growth while protecting the organization from catastrophic failure:</w:t>
      </w:r>
    </w:p>
    <w:p>
      <w:pPr>
        <w:keepNext/>
        <w:spacing w:before="180" w:after="60" w:line="276" w:lineRule="auto"/>
        <w:ind w:left="0" w:right="0" w:firstLine="0"/>
        <w:jc w:val="left"/>
      </w:pPr>
      <w:r>
        <w:rPr>
          <w:rFonts w:ascii="Arial" w:hAnsi="Arial"/>
          <w:b/>
          <w:color w:val="111827"/>
          <w:sz w:val="22"/>
        </w:rPr>
        <w:t>1. Optimization of the Fixed-to-Variable Cost Ratio</w:t>
      </w:r>
    </w:p>
    <w:p>
      <w:pPr>
        <w:spacing w:before="40" w:after="120" w:line="276" w:lineRule="auto"/>
        <w:ind w:left="0" w:right="0" w:firstLine="0"/>
        <w:jc w:val="left"/>
      </w:pPr>
      <w:r>
        <w:rPr>
          <w:rFonts w:ascii="Arial" w:hAnsi="Arial"/>
          <w:color w:val="1E1E1E"/>
          <w:sz w:val="21"/>
        </w:rPr>
        <w:t>Leaders must strategically decide which costs should be fixed to gain leverage and which should remain variable to ensure flexibility.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Strategic Outsourcing:</w:t>
      </w:r>
      <w:r>
        <w:rPr>
          <w:rFonts w:ascii="Arial" w:hAnsi="Arial"/>
          <w:color w:val="1E1E1E"/>
          <w:sz w:val="21"/>
        </w:rPr>
        <w:t xml:space="preserve"> Converting fixed overhead into variable costs by utilizing third-party providers for non-core functions like payroll or customer support.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Technology Integration:</w:t>
      </w:r>
      <w:r>
        <w:rPr>
          <w:rFonts w:ascii="Arial" w:hAnsi="Arial"/>
          <w:color w:val="1E1E1E"/>
          <w:sz w:val="21"/>
        </w:rPr>
        <w:t xml:space="preserve"> Investing in automation to replace variable labor costs with fixed capital costs, thereby increasing the degree of operating leverage.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Scalable Infrastructure:</w:t>
      </w:r>
      <w:r>
        <w:rPr>
          <w:rFonts w:ascii="Arial" w:hAnsi="Arial"/>
          <w:color w:val="1E1E1E"/>
          <w:sz w:val="21"/>
        </w:rPr>
        <w:t xml:space="preserve"> Utilizing cloud computing services to ensure that IT expenses scale directly with usage rather than requiring massive upfront hardware investment.</w:t>
      </w:r>
    </w:p>
    <w:p>
      <w:pPr>
        <w:keepNext/>
        <w:spacing w:before="180" w:after="60" w:line="276" w:lineRule="auto"/>
        <w:ind w:left="0" w:right="0" w:firstLine="0"/>
        <w:jc w:val="left"/>
      </w:pPr>
      <w:r>
        <w:rPr>
          <w:rFonts w:ascii="Arial" w:hAnsi="Arial"/>
          <w:b/>
          <w:color w:val="111827"/>
          <w:sz w:val="22"/>
        </w:rPr>
        <w:t>2. Dynamic Debt Capacity Assessment</w:t>
      </w:r>
    </w:p>
    <w:p>
      <w:pPr>
        <w:spacing w:before="40" w:after="120" w:line="276" w:lineRule="auto"/>
        <w:ind w:left="0" w:right="0" w:firstLine="0"/>
        <w:jc w:val="left"/>
      </w:pPr>
      <w:r>
        <w:rPr>
          <w:rFonts w:ascii="Arial" w:hAnsi="Arial"/>
          <w:color w:val="1E1E1E"/>
          <w:sz w:val="21"/>
        </w:rPr>
        <w:t>Managing financial leverage requires a constant evaluation of how much debt the firm’s cash flows can safely support under various market conditions.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Interest Coverage Maintenance:</w:t>
      </w:r>
      <w:r>
        <w:rPr>
          <w:rFonts w:ascii="Arial" w:hAnsi="Arial"/>
          <w:color w:val="1E1E1E"/>
          <w:sz w:val="21"/>
        </w:rPr>
        <w:t xml:space="preserve"> Ensuring that the ratio of EBIT to interest expense remains high enough to satisfy credit rating agencies and lenders.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Tax Shield Utilization:</w:t>
      </w:r>
      <w:r>
        <w:rPr>
          <w:rFonts w:ascii="Arial" w:hAnsi="Arial"/>
          <w:color w:val="1E1E1E"/>
          <w:sz w:val="21"/>
        </w:rPr>
        <w:t xml:space="preserve"> Calculating the optimal amount of debt to maximize the tax benefits of interest deductions without increasing the probability of bankruptcy.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Maturity Profiling:</w:t>
      </w:r>
      <w:r>
        <w:rPr>
          <w:rFonts w:ascii="Arial" w:hAnsi="Arial"/>
          <w:color w:val="1E1E1E"/>
          <w:sz w:val="21"/>
        </w:rPr>
        <w:t xml:space="preserve"> Staggering debt expiration dates to prevent a liquidity crisis where multiple large obligations become due during a market downturn.</w:t>
      </w:r>
    </w:p>
    <w:p>
      <w:pPr>
        <w:keepNext/>
        <w:spacing w:before="180" w:after="60" w:line="276" w:lineRule="auto"/>
        <w:ind w:left="0" w:right="0" w:firstLine="0"/>
        <w:jc w:val="left"/>
      </w:pPr>
      <w:r>
        <w:rPr>
          <w:rFonts w:ascii="Arial" w:hAnsi="Arial"/>
          <w:b/>
          <w:color w:val="111827"/>
          <w:sz w:val="22"/>
        </w:rPr>
        <w:t>3. Integrated Scenario Modeling and Stress Testing</w:t>
      </w:r>
    </w:p>
    <w:p>
      <w:pPr>
        <w:spacing w:before="40" w:after="120" w:line="276" w:lineRule="auto"/>
        <w:ind w:left="0" w:right="0" w:firstLine="0"/>
        <w:jc w:val="left"/>
      </w:pPr>
      <w:r>
        <w:rPr>
          <w:rFonts w:ascii="Arial" w:hAnsi="Arial"/>
          <w:color w:val="1E1E1E"/>
          <w:sz w:val="21"/>
        </w:rPr>
        <w:t>Leaders use sophisticated financial models to predict how changes in the external environment will interact with the firm’s internal leverage.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Sensitivity Analysis:</w:t>
      </w:r>
      <w:r>
        <w:rPr>
          <w:rFonts w:ascii="Arial" w:hAnsi="Arial"/>
          <w:color w:val="1E1E1E"/>
          <w:sz w:val="21"/>
        </w:rPr>
        <w:t xml:space="preserve"> Testing how a 10% drop in sales volume would impact net income given the current degree of combined leverage.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Break-even Volatility:</w:t>
      </w:r>
      <w:r>
        <w:rPr>
          <w:rFonts w:ascii="Arial" w:hAnsi="Arial"/>
          <w:color w:val="1E1E1E"/>
          <w:sz w:val="21"/>
        </w:rPr>
        <w:t xml:space="preserve"> Monitoring the margin of safety to determine how close the firm is to the point where revenue fails to cover fixed costs.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Monte Carlo Simulations:</w:t>
      </w:r>
      <w:r>
        <w:rPr>
          <w:rFonts w:ascii="Arial" w:hAnsi="Arial"/>
          <w:color w:val="1E1E1E"/>
          <w:sz w:val="21"/>
        </w:rPr>
        <w:t xml:space="preserve"> Running thousands of variables to assess the probability of maintaining debt covenants during periods of high interest rate volatility.</w:t>
      </w:r>
    </w:p>
    <w:p>
      <w:pPr>
        <w:keepNext/>
        <w:spacing w:before="180" w:after="60" w:line="276" w:lineRule="auto"/>
        <w:ind w:left="0" w:right="0" w:firstLine="0"/>
        <w:jc w:val="left"/>
      </w:pPr>
      <w:r>
        <w:rPr>
          <w:rFonts w:ascii="Arial" w:hAnsi="Arial"/>
          <w:b/>
          <w:color w:val="111827"/>
          <w:sz w:val="22"/>
        </w:rPr>
        <w:t>4. Strategic Asset Allocation and Utilization</w:t>
      </w:r>
    </w:p>
    <w:p>
      <w:pPr>
        <w:spacing w:before="40" w:after="120" w:line="276" w:lineRule="auto"/>
        <w:ind w:left="0" w:right="0" w:firstLine="0"/>
        <w:jc w:val="left"/>
      </w:pPr>
      <w:r>
        <w:rPr>
          <w:rFonts w:ascii="Arial" w:hAnsi="Arial"/>
          <w:color w:val="1E1E1E"/>
          <w:sz w:val="21"/>
        </w:rPr>
        <w:t>Maximizing leverage involves ensuring that every asset on the balance sheet is contributing to revenue generation at its highest possible capacity.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Capacity Utilization Monitoring:</w:t>
      </w:r>
      <w:r>
        <w:rPr>
          <w:rFonts w:ascii="Arial" w:hAnsi="Arial"/>
          <w:color w:val="1E1E1E"/>
          <w:sz w:val="21"/>
        </w:rPr>
        <w:t xml:space="preserve"> Tracking the efficiency of fixed assets to ensure the firm is capturing the full benefits of its operating leverage.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Lean Management Implementation:</w:t>
      </w:r>
      <w:r>
        <w:rPr>
          <w:rFonts w:ascii="Arial" w:hAnsi="Arial"/>
          <w:color w:val="1E1E1E"/>
          <w:sz w:val="21"/>
        </w:rPr>
        <w:t xml:space="preserve"> Reducing waste within the production process to lower the variable cost component and sharpen the impact of operating leverage.</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Divestment of Underperforming Assets:</w:t>
      </w:r>
      <w:r>
        <w:rPr>
          <w:rFonts w:ascii="Arial" w:hAnsi="Arial"/>
          <w:color w:val="1E1E1E"/>
          <w:sz w:val="21"/>
        </w:rPr>
        <w:t xml:space="preserve"> Selling off business units with low margins and high fixed costs to improve the overall corporate leverage profile.</w:t>
      </w:r>
    </w:p>
    <w:p>
      <w:pPr>
        <w:keepNext/>
        <w:spacing w:before="180" w:after="60" w:line="276" w:lineRule="auto"/>
        <w:ind w:left="0" w:right="0" w:firstLine="0"/>
        <w:jc w:val="left"/>
      </w:pPr>
      <w:r>
        <w:rPr>
          <w:rFonts w:ascii="Arial" w:hAnsi="Arial"/>
          <w:b/>
          <w:color w:val="111827"/>
          <w:sz w:val="22"/>
        </w:rPr>
        <w:t>5. Transparent Stakeholder Communication</w:t>
      </w:r>
    </w:p>
    <w:p>
      <w:pPr>
        <w:spacing w:before="40" w:after="120" w:line="276" w:lineRule="auto"/>
        <w:ind w:left="0" w:right="0" w:firstLine="0"/>
        <w:jc w:val="left"/>
      </w:pPr>
      <w:r>
        <w:rPr>
          <w:rFonts w:ascii="Arial" w:hAnsi="Arial"/>
          <w:color w:val="1E1E1E"/>
          <w:sz w:val="21"/>
        </w:rPr>
        <w:t>Leaders must articulate the rationale behind the firm’s leverage strategy to maintain investor confidence and secure favorable financing terms.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Guidance Precision:</w:t>
      </w:r>
      <w:r>
        <w:rPr>
          <w:rFonts w:ascii="Arial" w:hAnsi="Arial"/>
          <w:color w:val="1E1E1E"/>
          <w:sz w:val="21"/>
        </w:rPr>
        <w:t xml:space="preserve"> Providing clear expectations to analysts regarding how sales growth will translate into EPS growth based on leverage factors.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Risk Disclosure:</w:t>
      </w:r>
      <w:r>
        <w:rPr>
          <w:rFonts w:ascii="Arial" w:hAnsi="Arial"/>
          <w:color w:val="1E1E1E"/>
          <w:sz w:val="21"/>
        </w:rPr>
        <w:t xml:space="preserve"> Openly discussing the potential downsides of the firm’s leverage position during annual reports to manage market expectations.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Dividend Policy Alignment:</w:t>
      </w:r>
      <w:r>
        <w:rPr>
          <w:rFonts w:ascii="Arial" w:hAnsi="Arial"/>
          <w:color w:val="1E1E1E"/>
          <w:sz w:val="21"/>
        </w:rPr>
        <w:t xml:space="preserve"> Ensuring that the commitment to return capital to shareholders does not conflict with the need to service fixed debt obligations.</w:t>
      </w:r>
    </w:p>
    <w:p>
      <w:pPr>
        <w:keepNext/>
        <w:spacing w:before="220" w:after="100" w:line="276" w:lineRule="auto"/>
        <w:ind w:left="0" w:right="0" w:firstLine="0"/>
        <w:jc w:val="left"/>
      </w:pPr>
      <w:r>
        <w:rPr>
          <w:rFonts w:ascii="Arial" w:hAnsi="Arial"/>
          <w:b/>
          <w:color w:val="111827"/>
          <w:sz w:val="25"/>
        </w:rPr>
        <w:t>Conclusion</w:t>
      </w:r>
    </w:p>
    <w:p>
      <w:pPr>
        <w:spacing w:before="40" w:after="120" w:line="276" w:lineRule="auto"/>
        <w:ind w:left="0" w:right="0" w:firstLine="0"/>
        <w:jc w:val="left"/>
      </w:pPr>
      <w:r>
        <w:rPr>
          <w:rFonts w:ascii="Arial" w:hAnsi="Arial"/>
          <w:color w:val="1E1E1E"/>
          <w:sz w:val="21"/>
        </w:rPr>
        <w:t>Leverage remains one of the most potent instruments in the corporate treasury, offering the ability to transform moderate revenue gains into exceptional shareholder returns. However, its effectiveness is entirely contingent upon the stability of the underlying business model and the precision with which management monitors fixed obligations. When applied with strategic foresight, leverage enables firms to achieve a scale and profitability that would be impossible through equity financing or variable-cost structures alone.</w:t>
      </w:r>
    </w:p>
    <w:p>
      <w:pPr>
        <w:spacing w:before="40" w:after="120" w:line="276" w:lineRule="auto"/>
        <w:ind w:left="0" w:right="0" w:firstLine="0"/>
        <w:jc w:val="left"/>
      </w:pPr>
      <w:r>
        <w:rPr>
          <w:rFonts w:ascii="Arial" w:hAnsi="Arial"/>
          <w:color w:val="1E1E1E"/>
          <w:sz w:val="21"/>
        </w:rPr>
        <w:t>Ultimately, the mastery of leverage distinguishes resilient, high-growth organizations from those that succumb to market pressures. By balancing the pillars of operating and financial leverage, leaders can navigate the inherent trade-offs between risk and reward to build enduring value. In an increasingly volatile economic landscape, the disciplined application of leverage frameworks is not merely a financial tactic but a fundamental requirement for long-term strategic success.</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