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9</w:t>
      </w:r>
    </w:p>
    <w:p>
      <w:pPr>
        <w:spacing w:before="0" w:after="240" w:line="288" w:lineRule="auto"/>
        <w:ind w:left="0" w:right="0" w:firstLine="0"/>
        <w:jc w:val="left"/>
        <w:pBdr>
          <w:bottom w:val="single" w:sz="6" w:space="6" w:color="D0D5DD"/>
        </w:pBdr>
      </w:pPr>
      <w:r>
        <w:rPr>
          <w:rFonts w:ascii="Arial" w:hAnsi="Arial"/>
          <w:b/>
          <w:color w:val="111827"/>
          <w:sz w:val="23"/>
        </w:rPr>
        <w:t>How to calculate the weighted average cost of capital?</w:t>
      </w:r>
    </w:p>
    <w:p>
      <w:pPr>
        <w:spacing w:before="40" w:after="120" w:line="276" w:lineRule="auto"/>
        <w:ind w:left="0" w:right="0" w:firstLine="0"/>
        <w:jc w:val="left"/>
      </w:pPr>
      <w:r>
        <w:rPr>
          <w:rFonts w:ascii="Arial" w:hAnsi="Arial"/>
          <w:color w:val="1E1E1E"/>
          <w:sz w:val="21"/>
        </w:rPr>
        <w:t>The Weighted Average Cost of Capital (WACC) serves as a fundamental metric in corporate finance, representing the average rate a business is expected to pay to finance its assets, weighted according to the proportion of debt and equity in its capital structure. Formally, it is defined as the minimum return an organization must earn on its existing asset base to satisfy its creditors, owners, and other providers of capital, effectively acting as the hurdle rate for internal project evaluation (Ross, Westerfield, &amp; Jordan, 2022). By aggregating the costs of various financing components—including common stock, preferred stock, and long-term debt—WACC provides a singular, blended percentage that reflects the firm’s overall risk profile as perceived by the capital markets.</w:t>
      </w:r>
    </w:p>
    <w:p>
      <w:pPr>
        <w:spacing w:before="40" w:after="120" w:line="276" w:lineRule="auto"/>
        <w:ind w:left="0" w:right="0" w:firstLine="0"/>
        <w:jc w:val="left"/>
      </w:pPr>
      <w:r>
        <w:rPr>
          <w:rFonts w:ascii="Arial" w:hAnsi="Arial"/>
          <w:color w:val="1E1E1E"/>
          <w:sz w:val="21"/>
        </w:rPr>
        <w:t>In operational practice, WACC functions as the discount rate applied to future cash flows in Net Present Value (NPV) calculations, determining whether a strategic investment will create or destroy shareholder value. Financial managers utilize this figure to bridge the gap between the firm’s internal operational performance and the external expectations of the investment community. Because WACC accounts for the tax-deductibility of interest payments, it provides a realistic view of the actual cost of capital after accounting for fiscal policy advantages. Consequently, maintaining an accurate and up-to-date WACC is essential for maintaining capital discipline and ensuring that the firm’s growth initiatives exceed the cost of the resources deployed.</w:t>
      </w:r>
    </w:p>
    <w:p>
      <w:pPr>
        <w:keepNext/>
        <w:spacing w:before="220" w:after="100" w:line="276" w:lineRule="auto"/>
        <w:ind w:left="0" w:right="0" w:firstLine="0"/>
        <w:jc w:val="left"/>
      </w:pPr>
      <w:r>
        <w:rPr>
          <w:rFonts w:ascii="Arial" w:hAnsi="Arial"/>
          <w:b/>
          <w:color w:val="111827"/>
          <w:sz w:val="25"/>
        </w:rPr>
        <w:t>Core Pillars of the Weighted Average Cost of Capital</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Cost of Equity Component:</w:t>
      </w:r>
      <w:r>
        <w:rPr>
          <w:rFonts w:ascii="Arial" w:hAnsi="Arial"/>
          <w:color w:val="1E1E1E"/>
          <w:sz w:val="21"/>
        </w:rPr>
        <w:t xml:space="preserve"> This pillar involves determining the return required by shareholders, which is inherently more complex than debt because it lacks a fixed contractual rate. Most organizations employ the Capital Asset Pricing Model (CAPM) to derive this figure, calculating it by adding a risk premium—adjusted by the company’s beta, or systematic risk—to the prevailing risk-free rate. This component reflects the opportunity cost for investors who choose to hold the company’s stock instead of a diversified market portfolio or risk-free government bonds. Because equity holders bear the highest risk in the event of liquidation, this pillar typically represents the most expensive portion of the WACC calculation, requiring careful estimation of market risk premiums and historical volatility.</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After-Tax Cost of Debt:</w:t>
      </w:r>
      <w:r>
        <w:rPr>
          <w:rFonts w:ascii="Arial" w:hAnsi="Arial"/>
          <w:color w:val="1E1E1E"/>
          <w:sz w:val="21"/>
        </w:rPr>
        <w:t xml:space="preserve"> This pillar focuses on the effective rate a company pays on its borrowed funds, which is observable through the yield to maturity (YTM) on existing bonds or the interest rates on new bank loans. Unlike equity, the cost of debt is influenced by the corporate tax code, as interest expenses are generally tax-deductible, thereby reducing the net cash outflow for the firm. To calculate this accurately, the pre-tax cost of debt must be multiplied by the complement of the corporate tax rate, reflecting the "tax shield" benefit. This pillar is critical because it highlights how leverage can lower the overall WACC, though excessive debt increases the risk of financial distress and can eventually drive the cost of both debt and equity upward.</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The Proportional Capital Structure Weighting:</w:t>
      </w:r>
      <w:r>
        <w:rPr>
          <w:rFonts w:ascii="Arial" w:hAnsi="Arial"/>
          <w:color w:val="1E1E1E"/>
          <w:sz w:val="21"/>
        </w:rPr>
        <w:t xml:space="preserve"> This final pillar requires the determination of the relative proportions of debt and equity within the total value of the firm, specifically using market values rather than historical book values. Market value weighting ensures that the WACC reflects current economic realities and the prices at which new capital would actually be raised in the modern marketplace. By multiplying the cost of each component by its respective weight in the total capital stack, the firm arrives at a weighted average that is representative of its total financing strategy. This pillar emphasizes the importance of the target capital structure, as shifts in the debt-to-equity ratio directly alter the firm’s risk profile and its subsequent cost of capital.</w:t>
      </w:r>
    </w:p>
    <w:p>
      <w:pPr>
        <w:keepNext/>
        <w:spacing w:before="220" w:after="100" w:line="276" w:lineRule="auto"/>
        <w:ind w:left="0" w:right="0" w:firstLine="0"/>
        <w:jc w:val="left"/>
      </w:pPr>
      <w:r>
        <w:rPr>
          <w:rFonts w:ascii="Arial" w:hAnsi="Arial"/>
          <w:b/>
          <w:color w:val="111827"/>
          <w:sz w:val="25"/>
        </w:rPr>
        <w:t>Importance of WACC in Contemporary Business: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Investment Appraisal and Capital Budgeting:</w:t>
      </w:r>
      <w:r>
        <w:rPr>
          <w:rFonts w:ascii="Arial" w:hAnsi="Arial"/>
          <w:color w:val="1E1E1E"/>
          <w:sz w:val="21"/>
        </w:rPr>
        <w:t xml:space="preserve"> WACC acts as the definitive benchmark for determining the viability of multi-million dollar projects, such as when a technology firm like Intel evaluates the construction of a new semiconductor fabrication plant. If the projected internal rate of return (IRR) on the facility does not exceed the WACC, the project is deemed value-destructive and is typically rejected by the board.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Corporate Valuation and M&amp;A Activity:</w:t>
      </w:r>
      <w:r>
        <w:rPr>
          <w:rFonts w:ascii="Arial" w:hAnsi="Arial"/>
          <w:color w:val="1E1E1E"/>
          <w:sz w:val="21"/>
        </w:rPr>
        <w:t xml:space="preserve"> In the context of mergers and acquisitions, such as Disney’s acquisition of 21st Century Fox, WACC is the essential discount rate used in Discounted Cash Flow (DCF) models to determine the present value of the target firm. An inaccurately calculated WACC can lead to significant overpayment or the loss of a strategic opportunity due to an undervalued bid.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Optimizing Capital Structure:</w:t>
      </w:r>
      <w:r>
        <w:rPr>
          <w:rFonts w:ascii="Arial" w:hAnsi="Arial"/>
          <w:color w:val="1E1E1E"/>
          <w:sz w:val="21"/>
        </w:rPr>
        <w:t xml:space="preserve"> Management teams use WACC as a feedback loop to find the "optimal" mix of debt and equity that minimizes the cost of capital while maximizing firm value. For instance, highly stable utility companies often leverage higher debt ratios to lower their WACC, taking advantage of their predictable cash flows and the interest tax shield.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Performance Measurement through EVA:</w:t>
      </w:r>
      <w:r>
        <w:rPr>
          <w:rFonts w:ascii="Arial" w:hAnsi="Arial"/>
          <w:color w:val="1E1E1E"/>
          <w:sz w:val="21"/>
        </w:rPr>
        <w:t xml:space="preserve"> Economic Value Added (EVA) is a metric that subtracts the dollar cost of capital (WACC multiplied by total capital) from Net Operating Profit After Taxes (NOPAT). Large conglomerates like General Electric have historically used this approach to hold business unit managers accountable for the capital they employ, ensuring they generate returns above the company's funding costs.</w:t>
      </w:r>
    </w:p>
    <w:p>
      <w:pPr>
        <w:keepNext/>
        <w:spacing w:before="220" w:after="100" w:line="276" w:lineRule="auto"/>
        <w:ind w:left="0" w:right="0" w:firstLine="0"/>
        <w:jc w:val="left"/>
      </w:pPr>
      <w:r>
        <w:rPr>
          <w:rFonts w:ascii="Arial" w:hAnsi="Arial"/>
          <w:b/>
          <w:color w:val="111827"/>
          <w:sz w:val="25"/>
        </w:rPr>
        <w:t>Comparative Analysis: WACC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WACC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CAPM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APV (Adjusted Present Value)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Gordon Growth Model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Use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Overall firm valuation and project hurdle rates.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Estimating the required return on equity specifically.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Valuing firms with complex or changing leverage.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Valuing stable, dividend-paying companies.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Key Input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Blended costs of debt, equity, and weights.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Systematic risk (Beta) and market risk premium.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Unlevered cost of equity and tax shields.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Current dividends and constant growth rates.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Tax Consideration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Integrated directly into the cost of debt.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Taxes are not explicitly modeled in CAPM.</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Tax shields are valued as separate cash flows.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Taxes are generally ignored in the basic model.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Flexibility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Best for stable, target capital structures.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Limited to equity; ignores debt-related financing costs.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Highly flexible for changing debt levels over time.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Limited to firms with predictable dividend policies.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WACC Within Organizations</w:t>
      </w:r>
    </w:p>
    <w:p>
      <w:pPr>
        <w:spacing w:before="40" w:after="120" w:line="276" w:lineRule="auto"/>
        <w:ind w:left="0" w:right="0" w:firstLine="0"/>
        <w:jc w:val="left"/>
      </w:pPr>
      <w:r>
        <w:rPr>
          <w:rFonts w:ascii="Arial" w:hAnsi="Arial"/>
          <w:color w:val="1E1E1E"/>
          <w:sz w:val="21"/>
        </w:rPr>
        <w:t>Leaders must treat WACC not as a static accounting figure, but as a dynamic strategic tool that informs every level of corporate decision-making:</w:t>
      </w:r>
    </w:p>
    <w:p>
      <w:pPr>
        <w:keepNext/>
        <w:spacing w:before="180" w:after="60" w:line="276" w:lineRule="auto"/>
        <w:ind w:left="0" w:right="0" w:firstLine="0"/>
        <w:jc w:val="left"/>
      </w:pPr>
      <w:r>
        <w:rPr>
          <w:rFonts w:ascii="Arial" w:hAnsi="Arial"/>
          <w:b/>
          <w:color w:val="111827"/>
          <w:sz w:val="22"/>
        </w:rPr>
        <w:t>1. Precision in Cost of Equity Estimation</w:t>
      </w:r>
    </w:p>
    <w:p>
      <w:pPr>
        <w:spacing w:before="40" w:after="120" w:line="276" w:lineRule="auto"/>
        <w:ind w:left="0" w:right="0" w:firstLine="0"/>
        <w:jc w:val="left"/>
      </w:pPr>
      <w:r>
        <w:rPr>
          <w:rFonts w:ascii="Arial" w:hAnsi="Arial"/>
          <w:color w:val="1E1E1E"/>
          <w:sz w:val="21"/>
        </w:rPr>
        <w:t>The estimation of equity costs requires a sophisticated understanding of market sentiment and the firm's specific risk profile.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Beta Calibration:</w:t>
      </w:r>
      <w:r>
        <w:rPr>
          <w:rFonts w:ascii="Arial" w:hAnsi="Arial"/>
          <w:color w:val="1E1E1E"/>
          <w:sz w:val="21"/>
        </w:rPr>
        <w:t xml:space="preserve"> Leaders ensure that the beta used in CAPM reflects the current business mix, often adjusting for recent divestitures or acquisitions.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Premium Selection:</w:t>
      </w:r>
      <w:r>
        <w:rPr>
          <w:rFonts w:ascii="Arial" w:hAnsi="Arial"/>
          <w:color w:val="1E1E1E"/>
          <w:sz w:val="21"/>
        </w:rPr>
        <w:t xml:space="preserve"> Management must decide whether to use historical averages or forward-looking estimates for the equity risk premium based on current volatility.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Inclusion of Size Premiums:</w:t>
      </w:r>
      <w:r>
        <w:rPr>
          <w:rFonts w:ascii="Arial" w:hAnsi="Arial"/>
          <w:color w:val="1E1E1E"/>
          <w:sz w:val="21"/>
        </w:rPr>
        <w:t xml:space="preserve"> For mid-cap or smaller organizations, leaders often add a size-specific risk premium to account for the higher liquidity risk.</w:t>
      </w:r>
    </w:p>
    <w:p>
      <w:pPr>
        <w:keepNext/>
        <w:spacing w:before="180" w:after="60" w:line="276" w:lineRule="auto"/>
        <w:ind w:left="0" w:right="0" w:firstLine="0"/>
        <w:jc w:val="left"/>
      </w:pPr>
      <w:r>
        <w:rPr>
          <w:rFonts w:ascii="Arial" w:hAnsi="Arial"/>
          <w:b/>
          <w:color w:val="111827"/>
          <w:sz w:val="22"/>
        </w:rPr>
        <w:t>2. Strategic Management of the Tax Shield</w:t>
      </w:r>
    </w:p>
    <w:p>
      <w:pPr>
        <w:spacing w:before="40" w:after="120" w:line="276" w:lineRule="auto"/>
        <w:ind w:left="0" w:right="0" w:firstLine="0"/>
        <w:jc w:val="left"/>
      </w:pPr>
      <w:r>
        <w:rPr>
          <w:rFonts w:ascii="Arial" w:hAnsi="Arial"/>
          <w:color w:val="1E1E1E"/>
          <w:sz w:val="21"/>
        </w:rPr>
        <w:t>Maximizing the benefits of debt requires a careful balance between tax advantages and the risk of insolvency.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Monitoring Interest Coverage:</w:t>
      </w:r>
      <w:r>
        <w:rPr>
          <w:rFonts w:ascii="Arial" w:hAnsi="Arial"/>
          <w:color w:val="1E1E1E"/>
          <w:sz w:val="21"/>
        </w:rPr>
        <w:t xml:space="preserve"> Leaders track interest coverage ratios to ensure that the debt component of WACC does not jeopardize financial stability.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Tax Rate Forecasting:</w:t>
      </w:r>
      <w:r>
        <w:rPr>
          <w:rFonts w:ascii="Arial" w:hAnsi="Arial"/>
          <w:color w:val="1E1E1E"/>
          <w:sz w:val="21"/>
        </w:rPr>
        <w:t xml:space="preserve"> Effective WACC management involves using the marginal tax rate rather than the effective tax rate to reflect future costs.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Debt Instrument Diversification:</w:t>
      </w:r>
      <w:r>
        <w:rPr>
          <w:rFonts w:ascii="Arial" w:hAnsi="Arial"/>
          <w:color w:val="1E1E1E"/>
          <w:sz w:val="21"/>
        </w:rPr>
        <w:t xml:space="preserve"> Organizations lower the cost of debt by mixing fixed-rate bonds with floating-rate bank loans to optimize interest expenses.</w:t>
      </w:r>
    </w:p>
    <w:p>
      <w:pPr>
        <w:keepNext/>
        <w:spacing w:before="180" w:after="60" w:line="276" w:lineRule="auto"/>
        <w:ind w:left="0" w:right="0" w:firstLine="0"/>
        <w:jc w:val="left"/>
      </w:pPr>
      <w:r>
        <w:rPr>
          <w:rFonts w:ascii="Arial" w:hAnsi="Arial"/>
          <w:b/>
          <w:color w:val="111827"/>
          <w:sz w:val="22"/>
        </w:rPr>
        <w:t>3. Market Value Weighting Discipline</w:t>
      </w:r>
    </w:p>
    <w:p>
      <w:pPr>
        <w:spacing w:before="40" w:after="120" w:line="276" w:lineRule="auto"/>
        <w:ind w:left="0" w:right="0" w:firstLine="0"/>
        <w:jc w:val="left"/>
      </w:pPr>
      <w:r>
        <w:rPr>
          <w:rFonts w:ascii="Arial" w:hAnsi="Arial"/>
          <w:color w:val="1E1E1E"/>
          <w:sz w:val="21"/>
        </w:rPr>
        <w:t>Using market values ensures that the cost of capital reflects what the firm would pay for new funds today.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Real-time Valuation:</w:t>
      </w:r>
      <w:r>
        <w:rPr>
          <w:rFonts w:ascii="Arial" w:hAnsi="Arial"/>
          <w:color w:val="1E1E1E"/>
          <w:sz w:val="21"/>
        </w:rPr>
        <w:t xml:space="preserve"> Finance teams update the market value of equity using current share prices rather than outdated balance sheet figures.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Debt Fair Value Assessment:</w:t>
      </w:r>
      <w:r>
        <w:rPr>
          <w:rFonts w:ascii="Arial" w:hAnsi="Arial"/>
          <w:color w:val="1E1E1E"/>
          <w:sz w:val="21"/>
        </w:rPr>
        <w:t xml:space="preserve"> For non-traded debt, leaders estimate market values based on current interest rates and the firm’s credit spread.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Target Structure Alignment:</w:t>
      </w:r>
      <w:r>
        <w:rPr>
          <w:rFonts w:ascii="Arial" w:hAnsi="Arial"/>
          <w:color w:val="1E1E1E"/>
          <w:sz w:val="21"/>
        </w:rPr>
        <w:t xml:space="preserve"> Leaders communicate a "target" capital structure to investors, which helps stabilize WACC expectations even during market fluctuations.</w:t>
      </w:r>
    </w:p>
    <w:p>
      <w:pPr>
        <w:keepNext/>
        <w:spacing w:before="180" w:after="60" w:line="276" w:lineRule="auto"/>
        <w:ind w:left="0" w:right="0" w:firstLine="0"/>
        <w:jc w:val="left"/>
      </w:pPr>
      <w:r>
        <w:rPr>
          <w:rFonts w:ascii="Arial" w:hAnsi="Arial"/>
          <w:b/>
          <w:color w:val="111827"/>
          <w:sz w:val="22"/>
        </w:rPr>
        <w:t>4. Implementation of Risk-Adjusted Hurdle Rates</w:t>
      </w:r>
    </w:p>
    <w:p>
      <w:pPr>
        <w:spacing w:before="40" w:after="120" w:line="276" w:lineRule="auto"/>
        <w:ind w:left="0" w:right="0" w:firstLine="0"/>
        <w:jc w:val="left"/>
      </w:pPr>
      <w:r>
        <w:rPr>
          <w:rFonts w:ascii="Arial" w:hAnsi="Arial"/>
          <w:color w:val="1E1E1E"/>
          <w:sz w:val="21"/>
        </w:rPr>
        <w:t>A single corporate WACC may not be appropriate for every division within a diversified conglomerate.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Divisional Beta Application:</w:t>
      </w:r>
      <w:r>
        <w:rPr>
          <w:rFonts w:ascii="Arial" w:hAnsi="Arial"/>
          <w:color w:val="1E1E1E"/>
          <w:sz w:val="21"/>
        </w:rPr>
        <w:t xml:space="preserve"> Leaders assign different WACCs to different business units based on their specific industry risks and capital intensity.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Project-Specific Adjustments:</w:t>
      </w:r>
      <w:r>
        <w:rPr>
          <w:rFonts w:ascii="Arial" w:hAnsi="Arial"/>
          <w:color w:val="1E1E1E"/>
          <w:sz w:val="21"/>
        </w:rPr>
        <w:t xml:space="preserve"> For high-risk international ventures, management adds a country-risk premium to the base WACC to protect shareholder interests.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Consistent Thresholds:</w:t>
      </w:r>
      <w:r>
        <w:rPr>
          <w:rFonts w:ascii="Arial" w:hAnsi="Arial"/>
          <w:color w:val="1E1E1E"/>
          <w:sz w:val="21"/>
        </w:rPr>
        <w:t xml:space="preserve"> Establishing clear guidelines for when to deviate from the corporate WACC prevents "pet projects" from receiving favorable treatment.</w:t>
      </w:r>
    </w:p>
    <w:p>
      <w:pPr>
        <w:keepNext/>
        <w:spacing w:before="180" w:after="60" w:line="276" w:lineRule="auto"/>
        <w:ind w:left="0" w:right="0" w:firstLine="0"/>
        <w:jc w:val="left"/>
      </w:pPr>
      <w:r>
        <w:rPr>
          <w:rFonts w:ascii="Arial" w:hAnsi="Arial"/>
          <w:b/>
          <w:color w:val="111827"/>
          <w:sz w:val="22"/>
        </w:rPr>
        <w:t>5. Continuous Sensitivity and Scenario Analysis</w:t>
      </w:r>
    </w:p>
    <w:p>
      <w:pPr>
        <w:spacing w:before="40" w:after="120" w:line="276" w:lineRule="auto"/>
        <w:ind w:left="0" w:right="0" w:firstLine="0"/>
        <w:jc w:val="left"/>
      </w:pPr>
      <w:r>
        <w:rPr>
          <w:rFonts w:ascii="Arial" w:hAnsi="Arial"/>
          <w:color w:val="1E1E1E"/>
          <w:sz w:val="21"/>
        </w:rPr>
        <w:t>WACC is highly sensitive to external economic shifts, necessitating regular stress testing by leadership.</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Interest Rate Sensitivity:</w:t>
      </w:r>
      <w:r>
        <w:rPr>
          <w:rFonts w:ascii="Arial" w:hAnsi="Arial"/>
          <w:color w:val="1E1E1E"/>
          <w:sz w:val="21"/>
        </w:rPr>
        <w:t xml:space="preserve"> Management models how a 100-basis-point rise in central bank rates would impact the firm’s WACC and project pipeline.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Equity Market Volatility:</w:t>
      </w:r>
      <w:r>
        <w:rPr>
          <w:rFonts w:ascii="Arial" w:hAnsi="Arial"/>
          <w:color w:val="1E1E1E"/>
          <w:sz w:val="21"/>
        </w:rPr>
        <w:t xml:space="preserve"> Leaders assess how a sudden drop in stock price would increase the weight of debt and alter the WACC.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Pivot Readiness:</w:t>
      </w:r>
      <w:r>
        <w:rPr>
          <w:rFonts w:ascii="Arial" w:hAnsi="Arial"/>
          <w:color w:val="1E1E1E"/>
          <w:sz w:val="21"/>
        </w:rPr>
        <w:t xml:space="preserve"> By understanding the drivers of their WACC, leaders can quickly pivot their financing strategy if one source of capital becomes too expensive.</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calculation of the Weighted Average Cost of Capital is a vital synthesis of market data and internal financial strategy. By accurately blending the costs of debt and equity, an organization establishes a rigorous benchmark for value creation that aligns managerial actions with investor expectations. Ultimately, WACC serves as the foundational metric that ensures capital is allocated to its most productive and profitable uses.</w:t>
      </w:r>
    </w:p>
    <w:p>
      <w:pPr>
        <w:spacing w:before="40" w:after="120" w:line="276" w:lineRule="auto"/>
        <w:ind w:left="0" w:right="0" w:firstLine="0"/>
        <w:jc w:val="left"/>
      </w:pPr>
      <w:r>
        <w:rPr>
          <w:rFonts w:ascii="Arial" w:hAnsi="Arial"/>
          <w:color w:val="1E1E1E"/>
          <w:sz w:val="21"/>
        </w:rPr>
        <w:t>Successful implementation of WACC requires a commitment to using market-based inputs and adjusting for the specific risks of different business segments. Leaders who master this calculation can optimize their capital structure, enhance corporate valuation, and maintain a competitive edge in global markets. In the modern financial environment, the ability to precisely determine and manage the cost of capital remains a hallmark of disciplined and effective corporate governance.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