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120" w:line="264" w:lineRule="auto"/>
        <w:ind w:left="0" w:right="0" w:firstLine="0"/>
        <w:jc w:val="left"/>
      </w:pPr>
      <w:r>
        <w:rPr>
          <w:rFonts w:ascii="Arial" w:hAnsi="Arial"/>
          <w:b/>
          <w:color w:val="111827"/>
          <w:sz w:val="32"/>
        </w:rPr>
        <w:t>Week 9</w:t>
      </w:r>
    </w:p>
    <w:p>
      <w:pPr>
        <w:spacing w:before="0" w:after="240" w:line="288" w:lineRule="auto"/>
        <w:ind w:left="0" w:right="0" w:firstLine="0"/>
        <w:jc w:val="left"/>
        <w:pBdr>
          <w:bottom w:val="single" w:sz="6" w:space="6" w:color="D0D5DD"/>
        </w:pBdr>
      </w:pPr>
      <w:r>
        <w:rPr>
          <w:rFonts w:ascii="Arial" w:hAnsi="Arial"/>
          <w:b/>
          <w:color w:val="111827"/>
          <w:sz w:val="23"/>
        </w:rPr>
        <w:t>Explain some best practices in knowledge management.</w:t>
      </w:r>
    </w:p>
    <w:p>
      <w:pPr>
        <w:spacing w:before="40" w:after="120" w:line="276" w:lineRule="auto"/>
        <w:ind w:left="0" w:right="0" w:firstLine="0"/>
        <w:jc w:val="left"/>
      </w:pPr>
      <w:r>
        <w:rPr>
          <w:rFonts w:ascii="Arial" w:hAnsi="Arial"/>
          <w:color w:val="1E1E1E"/>
          <w:sz w:val="21"/>
        </w:rPr>
        <w:t>Knowledge management (KM) is defined as the systematic process of identifying, capturing, evaluating, retrieving, and sharing all of an enterprise's information assets, including databases, documents, policies, procedures, and previously unarticulated expertise and experience held by individual workers. According to Alavi and Leidner (2001), knowledge management involves a cyclical process of knowledge creation, storage, retrieval, transfer, and application, which transforms individual insights into organizational capital. This discipline posits that knowledge is not a static commodity but a fluid organizational resource that requires active cultivation to maintain its relevance and utility. By treating knowledge as a strategic asset rather than a byproduct of operations, organizations can ensure that critical insights are preserved even as personnel fluctuate, thereby fostering a resilient intellectual ecosystem.</w:t>
      </w:r>
    </w:p>
    <w:p>
      <w:pPr>
        <w:spacing w:before="40" w:after="120" w:line="276" w:lineRule="auto"/>
        <w:ind w:left="0" w:right="0" w:firstLine="0"/>
        <w:jc w:val="left"/>
      </w:pPr>
      <w:r>
        <w:rPr>
          <w:rFonts w:ascii="Arial" w:hAnsi="Arial"/>
          <w:color w:val="1E1E1E"/>
          <w:sz w:val="21"/>
        </w:rPr>
        <w:t>In operational practice, knowledge management functions as a bridge between raw data processing and strategic decision-making. It requires the integration of technological infrastructure with organizational culture to ensure that the right information reaches the right person at the optimal time. This is achieved through the implementation of structured repositories, collaborative platforms, and governance protocols that incentivize employees to document their tacit insights. Ultimately, an effective KM framework minimizes the redundant effort of "reinventing the wheel" and accelerates the learning curve for new employees, directly impacting the organization’s bottom line through enhanced agility and informed risk-taking.</w:t>
      </w:r>
    </w:p>
    <w:p>
      <w:pPr>
        <w:keepNext/>
        <w:spacing w:before="220" w:after="100" w:line="276" w:lineRule="auto"/>
        <w:ind w:left="0" w:right="0" w:firstLine="0"/>
        <w:jc w:val="left"/>
      </w:pPr>
      <w:r>
        <w:rPr>
          <w:rFonts w:ascii="Arial" w:hAnsi="Arial"/>
          <w:b/>
          <w:color w:val="111827"/>
          <w:sz w:val="25"/>
        </w:rPr>
        <w:t>Core Pillars of Knowledge Management</w:t>
      </w:r>
    </w:p>
    <w:p>
      <w:pPr>
        <w:spacing w:before="40" w:after="100" w:line="276" w:lineRule="auto"/>
        <w:ind w:left="461" w:right="0" w:hanging="317"/>
        <w:jc w:val="left"/>
      </w:pPr>
      <w:r>
        <w:rPr>
          <w:rFonts w:ascii="Arial" w:hAnsi="Arial"/>
          <w:b/>
          <w:sz w:val="21"/>
        </w:rPr>
        <w:t xml:space="preserve">1. </w:t>
      </w:r>
      <w:r>
        <w:rPr>
          <w:rFonts w:ascii="Arial" w:hAnsi="Arial"/>
          <w:b/>
          <w:color w:val="1E1E1E"/>
          <w:sz w:val="21"/>
        </w:rPr>
        <w:t>The Human and Cultural Pillar:</w:t>
      </w:r>
      <w:r>
        <w:rPr>
          <w:rFonts w:ascii="Arial" w:hAnsi="Arial"/>
          <w:color w:val="1E1E1E"/>
          <w:sz w:val="21"/>
        </w:rPr>
        <w:t xml:space="preserve"> This dimension emphasizes that knowledge resides primarily within individuals and that its successful management depends on a culture of trust and reciprocity. Organizations must move beyond the "knowledge is power" mindset, where employees hoard information to maintain job security, toward a "knowledge sharing is power" paradigm. This involves creating psychological safety where staff feel comfortable sharing both successes and failures, as well as establishing formal and informal networks that facilitate the flow of tacit knowledge. Without a supportive culture, even the most sophisticated technological systems will fail to capture the nuanced expertise that drives high-level performance and creative problem-solving.</w:t>
      </w:r>
    </w:p>
    <w:p>
      <w:pPr>
        <w:spacing w:before="40" w:after="100" w:line="276" w:lineRule="auto"/>
        <w:ind w:left="461" w:right="0" w:hanging="317"/>
        <w:jc w:val="left"/>
      </w:pPr>
      <w:r>
        <w:rPr>
          <w:rFonts w:ascii="Arial" w:hAnsi="Arial"/>
          <w:b/>
          <w:sz w:val="21"/>
        </w:rPr>
        <w:t xml:space="preserve">2. </w:t>
      </w:r>
      <w:r>
        <w:rPr>
          <w:rFonts w:ascii="Arial" w:hAnsi="Arial"/>
          <w:b/>
          <w:color w:val="1E1E1E"/>
          <w:sz w:val="21"/>
        </w:rPr>
        <w:t>The Process and Governance Pillar:</w:t>
      </w:r>
      <w:r>
        <w:rPr>
          <w:rFonts w:ascii="Arial" w:hAnsi="Arial"/>
          <w:color w:val="1E1E1E"/>
          <w:sz w:val="21"/>
        </w:rPr>
        <w:t xml:space="preserve"> Effective knowledge management requires a standardized lifecycle for information that ensures accuracy, relevance, and accessibility across the enterprise. This pillar involves the creation of formal workflows for knowledge capture, where insights from completed projects are systematically debriefed and converted into searchable assets. Governance plays a critical role here, as it defines who is responsible for vetting content, how often information is updated, and what taxonomies are used to categorize data. By embedding these processes into daily routines, organizations ensure that knowledge management is not viewed as an additional administrative burden but as an intrinsic component of operational excellence.</w:t>
      </w:r>
    </w:p>
    <w:p>
      <w:pPr>
        <w:spacing w:before="40" w:after="100" w:line="276" w:lineRule="auto"/>
        <w:ind w:left="461" w:right="0" w:hanging="317"/>
        <w:jc w:val="left"/>
      </w:pPr>
      <w:r>
        <w:rPr>
          <w:rFonts w:ascii="Arial" w:hAnsi="Arial"/>
          <w:b/>
          <w:sz w:val="21"/>
        </w:rPr>
        <w:t xml:space="preserve">3. </w:t>
      </w:r>
      <w:r>
        <w:rPr>
          <w:rFonts w:ascii="Arial" w:hAnsi="Arial"/>
          <w:b/>
          <w:color w:val="1E1E1E"/>
          <w:sz w:val="21"/>
        </w:rPr>
        <w:t>The Technological Infrastructure Pillar:</w:t>
      </w:r>
      <w:r>
        <w:rPr>
          <w:rFonts w:ascii="Arial" w:hAnsi="Arial"/>
          <w:color w:val="1E1E1E"/>
          <w:sz w:val="21"/>
        </w:rPr>
        <w:t xml:space="preserve"> While technology is not the sole driver of knowledge management, it serves as the essential enabler for scaling knowledge practices across global or decentralized workforces. This pillar encompasses the deployment of enterprise search engines, content management systems (CMS), and artificial intelligence tools that can synthesize vast amounts of unstructured data. Modern KM technology focuses on interoperability and user experience, ensuring that information is not just stored in "data graveyards" but is easily discoverable through intuitive interfaces. Furthermore, advanced analytics can identify knowledge gaps within the organization, allowing leaders to proactively address areas where expertise may be lacking or at risk of being lost.</w:t>
      </w:r>
    </w:p>
    <w:p>
      <w:pPr>
        <w:keepNext/>
        <w:spacing w:before="220" w:after="100" w:line="276" w:lineRule="auto"/>
        <w:ind w:left="0" w:right="0" w:firstLine="0"/>
        <w:jc w:val="left"/>
      </w:pPr>
      <w:r>
        <w:rPr>
          <w:rFonts w:ascii="Arial" w:hAnsi="Arial"/>
          <w:b/>
          <w:color w:val="111827"/>
          <w:sz w:val="25"/>
        </w:rPr>
        <w:t>Importance of Knowledge Management in Contemporary Business</w:t>
      </w:r>
    </w:p>
    <w:p>
      <w:pPr>
        <w:spacing w:before="40" w:after="120" w:line="276" w:lineRule="auto"/>
        <w:ind w:left="0" w:right="0" w:firstLine="0"/>
        <w:jc w:val="left"/>
      </w:pPr>
      <w:r>
        <w:rPr>
          <w:rFonts w:ascii="Arial" w:hAnsi="Arial"/>
          <w:color w:val="1E1E1E"/>
          <w:sz w:val="21"/>
        </w:rPr>
        <w:t>The strategic deployment of knowledge management systems offers several distinct advantages to modern enterprises: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Accelerated Innovation and Research:</w:t>
      </w:r>
      <w:r>
        <w:rPr>
          <w:rFonts w:ascii="Arial" w:hAnsi="Arial"/>
          <w:color w:val="1E1E1E"/>
          <w:sz w:val="21"/>
        </w:rPr>
        <w:t xml:space="preserve"> By centralizing historical data and cross-departmental insights, companies like 3M utilize knowledge repositories to combine disparate ideas into new product breakthroughs. This collaborative environment reduces the time-to-market for innovations by allowing research teams to build upon existing internal discoveries rather than starting from scratch.</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Enhanced Operational Efficiency:</w:t>
      </w:r>
      <w:r>
        <w:rPr>
          <w:rFonts w:ascii="Arial" w:hAnsi="Arial"/>
          <w:color w:val="1E1E1E"/>
          <w:sz w:val="21"/>
        </w:rPr>
        <w:t xml:space="preserve"> Organizations such as Toyota leverage rigorous knowledge-sharing protocols to standardize "best-known methods" across global manufacturing plants. This ensures that a process improvement discovered in one facility is immediately disseminated and implemented worldwide, resulting in significant cost savings and quality consistency.</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Organizational Resilience and Risk Mitigation:</w:t>
      </w:r>
      <w:r>
        <w:rPr>
          <w:rFonts w:ascii="Arial" w:hAnsi="Arial"/>
          <w:color w:val="1E1E1E"/>
          <w:sz w:val="21"/>
        </w:rPr>
        <w:t xml:space="preserve"> NASA employs comprehensive "lessons learned" databases to ensure that technical failures or safety oversights from previous missions are not repeated in future endeavors. This systematic retention of institutional memory protects the organization against the "brain drain" that occurs when senior experts retire or depart.</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Improved Employee Onboarding and Development:</w:t>
      </w:r>
      <w:r>
        <w:rPr>
          <w:rFonts w:ascii="Arial" w:hAnsi="Arial"/>
          <w:color w:val="1E1E1E"/>
          <w:sz w:val="21"/>
        </w:rPr>
        <w:t xml:space="preserve"> Professional service firms like Accenture use structured knowledge portals to provide new consultants with immediate access to case studies, templates, and expert directories. This reduces the time required for new hires to become billable and productive, as they can leverage the collective wisdom of the firm from day one.</w:t>
      </w:r>
    </w:p>
    <w:p>
      <w:pPr>
        <w:keepNext/>
        <w:spacing w:before="220" w:after="100" w:line="276" w:lineRule="auto"/>
        <w:ind w:left="0" w:right="0" w:firstLine="0"/>
        <w:jc w:val="left"/>
      </w:pPr>
      <w:r>
        <w:rPr>
          <w:rFonts w:ascii="Arial" w:hAnsi="Arial"/>
          <w:b/>
          <w:color w:val="111827"/>
          <w:sz w:val="25"/>
        </w:rPr>
        <w:t>Comparative Analysis: Knowledge Management vs. Alternative Frameworks</w:t>
      </w:r>
    </w:p>
    <w:tbl>
      <w:tblPr>
        <w:tblW w:type="auto" w:w="0"/>
        <w:jc w:val="center"/>
        <w:tblLayout w:type="fixed"/>
        <w:tblLook w:firstColumn="1" w:firstRow="1" w:lastColumn="0" w:lastRow="0" w:noHBand="0" w:noVBand="1" w:val="04A0"/>
      </w:tblPr>
      <w:tblGrid>
        <w:gridCol w:w="1930"/>
        <w:gridCol w:w="1930"/>
        <w:gridCol w:w="1930"/>
        <w:gridCol w:w="1930"/>
        <w:gridCol w:w="1930"/>
      </w:tblGrid>
      <w:tr>
        <w:trPr>
          <w:cantSplit/>
          <w:tblHeader/>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Dimension</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Knowledge Management (KM)</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Information Management (IM)</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Organizational Learning (OL)</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Intellectual Capital (IC)</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Primary Focus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Human insights and tacit expertise.</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Structured data and technical systems.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Behavioral change and adaptive capacity.</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Intangible assets and market value.</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Core Objective</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Optimizing the use of existing knowledge.</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Ensuring data integrity and accessibility.</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Improving future performance through experience.</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Quantifying the value of knowledge.</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Human Element</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Central; focuses on social interaction.</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Secondary; focuses on system architecture.</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Central; focuses on collective cognition.</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Financial; focuses on asset valuation.</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Temporal View</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Present utilization of past insights.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Real-time data storage and retrieval.</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Future-oriented growth and evolution.</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Long-term strategic asset positioning.</w:t>
            </w:r>
          </w:p>
        </w:tc>
      </w:tr>
    </w:tbl>
    <w:p>
      <w:pPr>
        <w:spacing w:before="0" w:after="80" w:line="276" w:lineRule="auto"/>
        <w:ind w:left="0" w:right="0" w:firstLine="0"/>
        <w:jc w:val="left"/>
      </w:pPr>
    </w:p>
    <w:p>
      <w:pPr>
        <w:keepNext/>
        <w:spacing w:before="220" w:after="100" w:line="276" w:lineRule="auto"/>
        <w:ind w:left="0" w:right="0" w:firstLine="0"/>
        <w:jc w:val="left"/>
      </w:pPr>
      <w:r>
        <w:rPr>
          <w:rFonts w:ascii="Arial" w:hAnsi="Arial"/>
          <w:b/>
          <w:color w:val="111827"/>
          <w:sz w:val="25"/>
        </w:rPr>
        <w:t>How Leaders Effectively Harness Knowledge Management Within Organizations</w:t>
      </w:r>
    </w:p>
    <w:p>
      <w:pPr>
        <w:spacing w:before="40" w:after="120" w:line="276" w:lineRule="auto"/>
        <w:ind w:left="0" w:right="0" w:firstLine="0"/>
        <w:jc w:val="left"/>
      </w:pPr>
      <w:r>
        <w:rPr>
          <w:rFonts w:ascii="Arial" w:hAnsi="Arial"/>
          <w:color w:val="1E1E1E"/>
          <w:sz w:val="21"/>
        </w:rPr>
        <w:t>Organizational leaders must move beyond theoretical constructs to embed knowledge management into the daily workflow through these specific interventions:</w:t>
      </w:r>
    </w:p>
    <w:p>
      <w:pPr>
        <w:keepNext/>
        <w:spacing w:before="180" w:after="60" w:line="276" w:lineRule="auto"/>
        <w:ind w:left="0" w:right="0" w:firstLine="0"/>
        <w:jc w:val="left"/>
      </w:pPr>
      <w:r>
        <w:rPr>
          <w:rFonts w:ascii="Arial" w:hAnsi="Arial"/>
          <w:b/>
          <w:color w:val="111827"/>
          <w:sz w:val="22"/>
        </w:rPr>
        <w:t>1. Cultivating a Knowledge-Sharing Culture</w:t>
      </w:r>
    </w:p>
    <w:p>
      <w:pPr>
        <w:spacing w:before="40" w:after="120" w:line="276" w:lineRule="auto"/>
        <w:ind w:left="0" w:right="0" w:firstLine="0"/>
        <w:jc w:val="left"/>
      </w:pPr>
      <w:r>
        <w:rPr>
          <w:rFonts w:ascii="Arial" w:hAnsi="Arial"/>
          <w:color w:val="1E1E1E"/>
          <w:sz w:val="21"/>
        </w:rPr>
        <w:t>Leaders must actively model the behaviors they wish to see by participating in knowledge-sharing forums and rewarding transparency.</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Incentive Alignment:</w:t>
      </w:r>
      <w:r>
        <w:rPr>
          <w:rFonts w:ascii="Arial" w:hAnsi="Arial"/>
          <w:color w:val="1E1E1E"/>
          <w:sz w:val="21"/>
        </w:rPr>
        <w:t xml:space="preserve"> Link performance reviews and bonuses to the contribution of high-quality content to the corporate knowledge base.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Psychological Safety:</w:t>
      </w:r>
      <w:r>
        <w:rPr>
          <w:rFonts w:ascii="Arial" w:hAnsi="Arial"/>
          <w:color w:val="1E1E1E"/>
          <w:sz w:val="21"/>
        </w:rPr>
        <w:t xml:space="preserve"> Encourage the documentation of "near-misses" and project failures to ensure the organization learns from mistakes without fear of retribution.</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Leadership Visibility:</w:t>
      </w:r>
      <w:r>
        <w:rPr>
          <w:rFonts w:ascii="Arial" w:hAnsi="Arial"/>
          <w:color w:val="1E1E1E"/>
          <w:sz w:val="21"/>
        </w:rPr>
        <w:t xml:space="preserve"> Ensure executives regularly use and reference the knowledge management system during town halls and strategic meetings.</w:t>
      </w:r>
    </w:p>
    <w:p>
      <w:pPr>
        <w:keepNext/>
        <w:spacing w:before="180" w:after="60" w:line="276" w:lineRule="auto"/>
        <w:ind w:left="0" w:right="0" w:firstLine="0"/>
        <w:jc w:val="left"/>
      </w:pPr>
      <w:r>
        <w:rPr>
          <w:rFonts w:ascii="Arial" w:hAnsi="Arial"/>
          <w:b/>
          <w:color w:val="111827"/>
          <w:sz w:val="22"/>
        </w:rPr>
        <w:t>2. Implementing Robust Technological Frameworks</w:t>
      </w:r>
    </w:p>
    <w:p>
      <w:pPr>
        <w:spacing w:before="40" w:after="120" w:line="276" w:lineRule="auto"/>
        <w:ind w:left="0" w:right="0" w:firstLine="0"/>
        <w:jc w:val="left"/>
      </w:pPr>
      <w:r>
        <w:rPr>
          <w:rFonts w:ascii="Arial" w:hAnsi="Arial"/>
          <w:color w:val="1E1E1E"/>
          <w:sz w:val="21"/>
        </w:rPr>
        <w:t>The digital environment must facilitate, rather than hinder, the seamless exchange of information across various departments and geographic locations.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Semantic Search Capabilities:</w:t>
      </w:r>
      <w:r>
        <w:rPr>
          <w:rFonts w:ascii="Arial" w:hAnsi="Arial"/>
          <w:color w:val="1E1E1E"/>
          <w:sz w:val="21"/>
        </w:rPr>
        <w:t xml:space="preserve"> Deploy AI-driven search tools that understand context and intent, making it easier for employees to find relevant documents.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Mobile Accessibility:</w:t>
      </w:r>
      <w:r>
        <w:rPr>
          <w:rFonts w:ascii="Arial" w:hAnsi="Arial"/>
          <w:color w:val="1E1E1E"/>
          <w:sz w:val="21"/>
        </w:rPr>
        <w:t xml:space="preserve"> Ensure that knowledge repositories are accessible on various devices, allowing field workers and remote staff to contribute and retrieve data.</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System Interoperability:</w:t>
      </w:r>
      <w:r>
        <w:rPr>
          <w:rFonts w:ascii="Arial" w:hAnsi="Arial"/>
          <w:color w:val="1E1E1E"/>
          <w:sz w:val="21"/>
        </w:rPr>
        <w:t xml:space="preserve"> Integrate KM platforms with existing tools like Slack, Microsoft Teams, and CRM systems to reduce platform switching.</w:t>
      </w:r>
    </w:p>
    <w:p>
      <w:pPr>
        <w:keepNext/>
        <w:spacing w:before="180" w:after="60" w:line="276" w:lineRule="auto"/>
        <w:ind w:left="0" w:right="0" w:firstLine="0"/>
        <w:jc w:val="left"/>
      </w:pPr>
      <w:r>
        <w:rPr>
          <w:rFonts w:ascii="Arial" w:hAnsi="Arial"/>
          <w:b/>
          <w:color w:val="111827"/>
          <w:sz w:val="22"/>
        </w:rPr>
        <w:t>3. Establishing Knowledge Governance and Metrics</w:t>
      </w:r>
    </w:p>
    <w:p>
      <w:pPr>
        <w:spacing w:before="40" w:after="120" w:line="276" w:lineRule="auto"/>
        <w:ind w:left="0" w:right="0" w:firstLine="0"/>
        <w:jc w:val="left"/>
      </w:pPr>
      <w:r>
        <w:rPr>
          <w:rFonts w:ascii="Arial" w:hAnsi="Arial"/>
          <w:color w:val="1E1E1E"/>
          <w:sz w:val="21"/>
        </w:rPr>
        <w:t>Without clear ownership and measurement, knowledge management initiatives often lose momentum and suffer from declining data quality.</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Knowledge Stewards:</w:t>
      </w:r>
      <w:r>
        <w:rPr>
          <w:rFonts w:ascii="Arial" w:hAnsi="Arial"/>
          <w:color w:val="1E1E1E"/>
          <w:sz w:val="21"/>
        </w:rPr>
        <w:t xml:space="preserve"> Appoint subject matter experts as "content owners" responsible for the accuracy and lifecycle of specific knowledge domains.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Usage Analytics:</w:t>
      </w:r>
      <w:r>
        <w:rPr>
          <w:rFonts w:ascii="Arial" w:hAnsi="Arial"/>
          <w:color w:val="1E1E1E"/>
          <w:sz w:val="21"/>
        </w:rPr>
        <w:t xml:space="preserve"> Track metrics such as "most viewed articles" and "search failure rates" to identify where the system is adding value or failing.</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Standardized Taxonomies:</w:t>
      </w:r>
      <w:r>
        <w:rPr>
          <w:rFonts w:ascii="Arial" w:hAnsi="Arial"/>
          <w:color w:val="1E1E1E"/>
          <w:sz w:val="21"/>
        </w:rPr>
        <w:t xml:space="preserve"> Develop a common language and tagging system to ensure that information is categorized consistently across the entire enterprise.</w:t>
      </w:r>
    </w:p>
    <w:p>
      <w:pPr>
        <w:keepNext/>
        <w:spacing w:before="180" w:after="60" w:line="276" w:lineRule="auto"/>
        <w:ind w:left="0" w:right="0" w:firstLine="0"/>
        <w:jc w:val="left"/>
      </w:pPr>
      <w:r>
        <w:rPr>
          <w:rFonts w:ascii="Arial" w:hAnsi="Arial"/>
          <w:b/>
          <w:color w:val="111827"/>
          <w:sz w:val="22"/>
        </w:rPr>
        <w:t>4. Integrating KM into Talent Management</w:t>
      </w:r>
    </w:p>
    <w:p>
      <w:pPr>
        <w:spacing w:before="40" w:after="120" w:line="276" w:lineRule="auto"/>
        <w:ind w:left="0" w:right="0" w:firstLine="0"/>
        <w:jc w:val="left"/>
      </w:pPr>
      <w:r>
        <w:rPr>
          <w:rFonts w:ascii="Arial" w:hAnsi="Arial"/>
          <w:color w:val="1E1E1E"/>
          <w:sz w:val="21"/>
        </w:rPr>
        <w:t>Knowledge management should be viewed as a critical component of the employee lifecycle, from initial recruitment to final offboarding.</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Mentorship Programs:</w:t>
      </w:r>
      <w:r>
        <w:rPr>
          <w:rFonts w:ascii="Arial" w:hAnsi="Arial"/>
          <w:color w:val="1E1E1E"/>
          <w:sz w:val="21"/>
        </w:rPr>
        <w:t xml:space="preserve"> Formalize "shadowing" opportunities where junior staff can absorb the tacit knowledge of senior experts through direct observation.</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Expertise Location:</w:t>
      </w:r>
      <w:r>
        <w:rPr>
          <w:rFonts w:ascii="Arial" w:hAnsi="Arial"/>
          <w:color w:val="1E1E1E"/>
          <w:sz w:val="21"/>
        </w:rPr>
        <w:t xml:space="preserve"> Maintain a dynamic "yellow pages" of internal experts, allowing staff to quickly find who possesses specific skills or experience.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Exit Interview Capture:</w:t>
      </w:r>
      <w:r>
        <w:rPr>
          <w:rFonts w:ascii="Arial" w:hAnsi="Arial"/>
          <w:color w:val="1E1E1E"/>
          <w:sz w:val="21"/>
        </w:rPr>
        <w:t xml:space="preserve"> Implement structured "knowledge harvesting" sessions for departing employees to ensure their unique insights remain within the firm.</w:t>
      </w:r>
    </w:p>
    <w:p>
      <w:pPr>
        <w:keepNext/>
        <w:spacing w:before="180" w:after="60" w:line="276" w:lineRule="auto"/>
        <w:ind w:left="0" w:right="0" w:firstLine="0"/>
        <w:jc w:val="left"/>
      </w:pPr>
      <w:r>
        <w:rPr>
          <w:rFonts w:ascii="Arial" w:hAnsi="Arial"/>
          <w:b/>
          <w:color w:val="111827"/>
          <w:sz w:val="22"/>
        </w:rPr>
        <w:t>5. Encouraging Communities of Practice (CoPs)</w:t>
      </w:r>
    </w:p>
    <w:p>
      <w:pPr>
        <w:spacing w:before="40" w:after="120" w:line="276" w:lineRule="auto"/>
        <w:ind w:left="0" w:right="0" w:firstLine="0"/>
        <w:jc w:val="left"/>
      </w:pPr>
      <w:r>
        <w:rPr>
          <w:rFonts w:ascii="Arial" w:hAnsi="Arial"/>
          <w:color w:val="1E1E1E"/>
          <w:sz w:val="21"/>
        </w:rPr>
        <w:t>Leaders should facilitate the formation of self-organizing groups focused on specific professional disciplines or technical challenges.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Dedicated Time:</w:t>
      </w:r>
      <w:r>
        <w:rPr>
          <w:rFonts w:ascii="Arial" w:hAnsi="Arial"/>
          <w:color w:val="1E1E1E"/>
          <w:sz w:val="21"/>
        </w:rPr>
        <w:t xml:space="preserve"> Provide employees with protected time during the work week to meet with their CoPs and discuss emerging industry trends.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Cross-Functional Collaboration:</w:t>
      </w:r>
      <w:r>
        <w:rPr>
          <w:rFonts w:ascii="Arial" w:hAnsi="Arial"/>
          <w:color w:val="1E1E1E"/>
          <w:sz w:val="21"/>
        </w:rPr>
        <w:t xml:space="preserve"> Use CoPs to break down departmental silos, allowing engineers, marketers, and sales staff to share diverse perspectives.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Resource Allocation:</w:t>
      </w:r>
      <w:r>
        <w:rPr>
          <w:rFonts w:ascii="Arial" w:hAnsi="Arial"/>
          <w:color w:val="1E1E1E"/>
          <w:sz w:val="21"/>
        </w:rPr>
        <w:t xml:space="preserve"> Provide small budgets for CoPs to host external speakers or purchase specialized research materials that benefit the group.</w:t>
      </w:r>
    </w:p>
    <w:p>
      <w:pPr>
        <w:keepNext/>
        <w:spacing w:before="220" w:after="100" w:line="276" w:lineRule="auto"/>
        <w:ind w:left="0" w:right="0" w:firstLine="0"/>
        <w:jc w:val="left"/>
      </w:pPr>
      <w:r>
        <w:rPr>
          <w:rFonts w:ascii="Arial" w:hAnsi="Arial"/>
          <w:b/>
          <w:color w:val="111827"/>
          <w:sz w:val="25"/>
        </w:rPr>
        <w:t>Conclusion</w:t>
      </w:r>
    </w:p>
    <w:p>
      <w:pPr>
        <w:spacing w:before="40" w:after="120" w:line="276" w:lineRule="auto"/>
        <w:ind w:left="0" w:right="0" w:firstLine="0"/>
        <w:jc w:val="left"/>
      </w:pPr>
      <w:r>
        <w:rPr>
          <w:rFonts w:ascii="Arial" w:hAnsi="Arial"/>
          <w:color w:val="1E1E1E"/>
          <w:sz w:val="21"/>
        </w:rPr>
        <w:t>Knowledge management represents a fundamental shift in how modern organizations perceive and utilize their intellectual resources. By balancing the three pillars of people, process, and technology, enterprises can transform individual experiences into a collective strategic advantage that is difficult for competitors to replicate. The transition from a data-heavy environment to a knowledge-rich one requires consistent leadership commitment and a cultural willingness to embrace transparency.</w:t>
      </w:r>
    </w:p>
    <w:p>
      <w:pPr>
        <w:spacing w:before="40" w:after="120" w:line="276" w:lineRule="auto"/>
        <w:ind w:left="0" w:right="0" w:firstLine="0"/>
        <w:jc w:val="left"/>
      </w:pPr>
      <w:r>
        <w:rPr>
          <w:rFonts w:ascii="Arial" w:hAnsi="Arial"/>
          <w:color w:val="1E1E1E"/>
          <w:sz w:val="21"/>
        </w:rPr>
        <w:t>Ultimately, the best practices discussed—ranging from cultural shifts to technological integration—ensure that an organization remains agile in a volatile economic landscape. As artificial intelligence continues to evolve, the ability to manage and verify human-centered knowledge will become an even more critical differentiator for global firms. Organizations that master the art of knowledge management will not only survive periods of disruption but will thrive by continuously building upon their cumulative wisdom.</w:t>
      </w:r>
    </w:p>
    <w:sectPr w:rsidR="00FC165B" w:rsidRPr="007B5F68" w:rsidSect="00302B84">
      <w:pgSz w:w="12240" w:h="15840"/>
      <w:pgMar w:top="1224" w:right="1296" w:bottom="1224" w:left="1296"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7024"/>
    <w:multiLevelType w:val="hybridMultilevel"/>
    <w:tmpl w:val="E00CE0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CF06E0"/>
    <w:multiLevelType w:val="multilevel"/>
    <w:tmpl w:val="ED987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384AF1"/>
    <w:multiLevelType w:val="multilevel"/>
    <w:tmpl w:val="9780B09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0B66C2"/>
    <w:multiLevelType w:val="multilevel"/>
    <w:tmpl w:val="EFCE5E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FA7209"/>
    <w:multiLevelType w:val="multilevel"/>
    <w:tmpl w:val="288A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83AAC"/>
    <w:multiLevelType w:val="multilevel"/>
    <w:tmpl w:val="450C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6C50F3"/>
    <w:multiLevelType w:val="multilevel"/>
    <w:tmpl w:val="8D34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CA7495"/>
    <w:multiLevelType w:val="multilevel"/>
    <w:tmpl w:val="A73052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D3561B"/>
    <w:multiLevelType w:val="multilevel"/>
    <w:tmpl w:val="47922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EA78F9"/>
    <w:multiLevelType w:val="multilevel"/>
    <w:tmpl w:val="62F84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FD5789"/>
    <w:multiLevelType w:val="multilevel"/>
    <w:tmpl w:val="B73627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6A7DB1"/>
    <w:multiLevelType w:val="multilevel"/>
    <w:tmpl w:val="71B2149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6E08DA"/>
    <w:multiLevelType w:val="multilevel"/>
    <w:tmpl w:val="A8A0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F71A6D"/>
    <w:multiLevelType w:val="multilevel"/>
    <w:tmpl w:val="F37ED7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3A527D"/>
    <w:multiLevelType w:val="multilevel"/>
    <w:tmpl w:val="87F06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287B79"/>
    <w:multiLevelType w:val="multilevel"/>
    <w:tmpl w:val="2DD4867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F65E65"/>
    <w:multiLevelType w:val="multilevel"/>
    <w:tmpl w:val="186A0C5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77370F"/>
    <w:multiLevelType w:val="multilevel"/>
    <w:tmpl w:val="CCA0CE8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32E42169"/>
    <w:multiLevelType w:val="multilevel"/>
    <w:tmpl w:val="CE900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FB4838"/>
    <w:multiLevelType w:val="multilevel"/>
    <w:tmpl w:val="94480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AD6066"/>
    <w:multiLevelType w:val="multilevel"/>
    <w:tmpl w:val="03BE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2A1858"/>
    <w:multiLevelType w:val="multilevel"/>
    <w:tmpl w:val="27DEC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3B0F71"/>
    <w:multiLevelType w:val="multilevel"/>
    <w:tmpl w:val="15BAE9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AC05E6"/>
    <w:multiLevelType w:val="multilevel"/>
    <w:tmpl w:val="F346686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8345626"/>
    <w:multiLevelType w:val="multilevel"/>
    <w:tmpl w:val="5A90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E13DAF"/>
    <w:multiLevelType w:val="multilevel"/>
    <w:tmpl w:val="2816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CD17C2"/>
    <w:multiLevelType w:val="multilevel"/>
    <w:tmpl w:val="3FEC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2D51B5"/>
    <w:multiLevelType w:val="multilevel"/>
    <w:tmpl w:val="8CEE0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D62F64"/>
    <w:multiLevelType w:val="multilevel"/>
    <w:tmpl w:val="A4D284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D587708"/>
    <w:multiLevelType w:val="multilevel"/>
    <w:tmpl w:val="6F4292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8A739D"/>
    <w:multiLevelType w:val="multilevel"/>
    <w:tmpl w:val="54FA5B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E8C091C"/>
    <w:multiLevelType w:val="multilevel"/>
    <w:tmpl w:val="2CDC7F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0D71DE9"/>
    <w:multiLevelType w:val="multilevel"/>
    <w:tmpl w:val="5E92994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4A801C3"/>
    <w:multiLevelType w:val="multilevel"/>
    <w:tmpl w:val="7958C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29363F"/>
    <w:multiLevelType w:val="multilevel"/>
    <w:tmpl w:val="9CEA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4110C4"/>
    <w:multiLevelType w:val="multilevel"/>
    <w:tmpl w:val="B098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3C6383"/>
    <w:multiLevelType w:val="multilevel"/>
    <w:tmpl w:val="C8A0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9720D9"/>
    <w:multiLevelType w:val="hybridMultilevel"/>
    <w:tmpl w:val="ADF03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EBB6B5B"/>
    <w:multiLevelType w:val="multilevel"/>
    <w:tmpl w:val="7F60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5111A3"/>
    <w:multiLevelType w:val="multilevel"/>
    <w:tmpl w:val="98321CB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AC4371F"/>
    <w:multiLevelType w:val="multilevel"/>
    <w:tmpl w:val="B0E61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DB38B8"/>
    <w:multiLevelType w:val="multilevel"/>
    <w:tmpl w:val="5AE204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DC40D7B"/>
    <w:multiLevelType w:val="multilevel"/>
    <w:tmpl w:val="D362EAB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8598518">
    <w:abstractNumId w:val="1"/>
  </w:num>
  <w:num w:numId="2" w16cid:durableId="670528377">
    <w:abstractNumId w:val="28"/>
  </w:num>
  <w:num w:numId="3" w16cid:durableId="1016690764">
    <w:abstractNumId w:val="22"/>
  </w:num>
  <w:num w:numId="4" w16cid:durableId="51125554">
    <w:abstractNumId w:val="31"/>
  </w:num>
  <w:num w:numId="5" w16cid:durableId="1258251590">
    <w:abstractNumId w:val="23"/>
  </w:num>
  <w:num w:numId="6" w16cid:durableId="1258060744">
    <w:abstractNumId w:val="42"/>
  </w:num>
  <w:num w:numId="7" w16cid:durableId="952054237">
    <w:abstractNumId w:val="2"/>
  </w:num>
  <w:num w:numId="8" w16cid:durableId="1391538452">
    <w:abstractNumId w:val="14"/>
  </w:num>
  <w:num w:numId="9" w16cid:durableId="459030562">
    <w:abstractNumId w:val="7"/>
  </w:num>
  <w:num w:numId="10" w16cid:durableId="1821994618">
    <w:abstractNumId w:val="10"/>
  </w:num>
  <w:num w:numId="11" w16cid:durableId="73012113">
    <w:abstractNumId w:val="3"/>
  </w:num>
  <w:num w:numId="12" w16cid:durableId="1258100749">
    <w:abstractNumId w:val="30"/>
  </w:num>
  <w:num w:numId="13" w16cid:durableId="1210992578">
    <w:abstractNumId w:val="32"/>
  </w:num>
  <w:num w:numId="14" w16cid:durableId="1400010011">
    <w:abstractNumId w:val="16"/>
  </w:num>
  <w:num w:numId="15" w16cid:durableId="633416108">
    <w:abstractNumId w:val="37"/>
  </w:num>
  <w:num w:numId="16" w16cid:durableId="1019965587">
    <w:abstractNumId w:val="0"/>
  </w:num>
  <w:num w:numId="17" w16cid:durableId="1263298069">
    <w:abstractNumId w:val="17"/>
  </w:num>
  <w:num w:numId="18" w16cid:durableId="1310014315">
    <w:abstractNumId w:val="41"/>
  </w:num>
  <w:num w:numId="19" w16cid:durableId="1719863394">
    <w:abstractNumId w:val="13"/>
  </w:num>
  <w:num w:numId="20" w16cid:durableId="1310135211">
    <w:abstractNumId w:val="29"/>
  </w:num>
  <w:num w:numId="21" w16cid:durableId="9648127">
    <w:abstractNumId w:val="15"/>
  </w:num>
  <w:num w:numId="22" w16cid:durableId="2106341260">
    <w:abstractNumId w:val="39"/>
  </w:num>
  <w:num w:numId="23" w16cid:durableId="451098979">
    <w:abstractNumId w:val="11"/>
  </w:num>
  <w:num w:numId="24" w16cid:durableId="1061706933">
    <w:abstractNumId w:val="26"/>
  </w:num>
  <w:num w:numId="25" w16cid:durableId="925651870">
    <w:abstractNumId w:val="38"/>
  </w:num>
  <w:num w:numId="26" w16cid:durableId="586840388">
    <w:abstractNumId w:val="4"/>
  </w:num>
  <w:num w:numId="27" w16cid:durableId="1113212369">
    <w:abstractNumId w:val="40"/>
  </w:num>
  <w:num w:numId="28" w16cid:durableId="490341337">
    <w:abstractNumId w:val="34"/>
  </w:num>
  <w:num w:numId="29" w16cid:durableId="167185278">
    <w:abstractNumId w:val="9"/>
  </w:num>
  <w:num w:numId="30" w16cid:durableId="1908833286">
    <w:abstractNumId w:val="6"/>
  </w:num>
  <w:num w:numId="31" w16cid:durableId="856624995">
    <w:abstractNumId w:val="19"/>
  </w:num>
  <w:num w:numId="32" w16cid:durableId="1688360996">
    <w:abstractNumId w:val="27"/>
  </w:num>
  <w:num w:numId="33" w16cid:durableId="609509849">
    <w:abstractNumId w:val="24"/>
  </w:num>
  <w:num w:numId="34" w16cid:durableId="1809325446">
    <w:abstractNumId w:val="8"/>
  </w:num>
  <w:num w:numId="35" w16cid:durableId="1578436602">
    <w:abstractNumId w:val="33"/>
  </w:num>
  <w:num w:numId="36" w16cid:durableId="422796640">
    <w:abstractNumId w:val="20"/>
  </w:num>
  <w:num w:numId="37" w16cid:durableId="2059935866">
    <w:abstractNumId w:val="21"/>
  </w:num>
  <w:num w:numId="38" w16cid:durableId="193154135">
    <w:abstractNumId w:val="18"/>
  </w:num>
  <w:num w:numId="39" w16cid:durableId="511989419">
    <w:abstractNumId w:val="35"/>
  </w:num>
  <w:num w:numId="40" w16cid:durableId="1097678224">
    <w:abstractNumId w:val="36"/>
  </w:num>
  <w:num w:numId="41" w16cid:durableId="1584341188">
    <w:abstractNumId w:val="5"/>
  </w:num>
  <w:num w:numId="42" w16cid:durableId="1088579031">
    <w:abstractNumId w:val="25"/>
  </w:num>
  <w:num w:numId="43" w16cid:durableId="213093407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362"/>
    <w:rsid w:val="00072017"/>
    <w:rsid w:val="00075991"/>
    <w:rsid w:val="00301D1C"/>
    <w:rsid w:val="00302B84"/>
    <w:rsid w:val="00374B7B"/>
    <w:rsid w:val="00467FCC"/>
    <w:rsid w:val="0059074B"/>
    <w:rsid w:val="005D6F6B"/>
    <w:rsid w:val="005F6838"/>
    <w:rsid w:val="006B1362"/>
    <w:rsid w:val="00763FDB"/>
    <w:rsid w:val="007B5F68"/>
    <w:rsid w:val="0095502B"/>
    <w:rsid w:val="00AF19FB"/>
    <w:rsid w:val="00B52A64"/>
    <w:rsid w:val="00BF12AB"/>
    <w:rsid w:val="00CD3C2A"/>
    <w:rsid w:val="00D74422"/>
    <w:rsid w:val="00E912B6"/>
    <w:rsid w:val="00F6060E"/>
    <w:rsid w:val="00F936C5"/>
    <w:rsid w:val="00FC16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6047B"/>
  <w15:chartTrackingRefBased/>
  <w15:docId w15:val="{203352DD-5FD0-48A1-AF77-0F084CFB2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13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13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13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13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13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13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13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13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13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13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13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13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13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13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13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13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13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1362"/>
    <w:rPr>
      <w:rFonts w:eastAsiaTheme="majorEastAsia" w:cstheme="majorBidi"/>
      <w:color w:val="272727" w:themeColor="text1" w:themeTint="D8"/>
    </w:rPr>
  </w:style>
  <w:style w:type="paragraph" w:styleId="Title">
    <w:name w:val="Title"/>
    <w:basedOn w:val="Normal"/>
    <w:next w:val="Normal"/>
    <w:link w:val="TitleChar"/>
    <w:uiPriority w:val="10"/>
    <w:qFormat/>
    <w:rsid w:val="006B13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13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13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13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1362"/>
    <w:pPr>
      <w:spacing w:before="160"/>
      <w:jc w:val="center"/>
    </w:pPr>
    <w:rPr>
      <w:i/>
      <w:iCs/>
      <w:color w:val="404040" w:themeColor="text1" w:themeTint="BF"/>
    </w:rPr>
  </w:style>
  <w:style w:type="character" w:customStyle="1" w:styleId="QuoteChar">
    <w:name w:val="Quote Char"/>
    <w:basedOn w:val="DefaultParagraphFont"/>
    <w:link w:val="Quote"/>
    <w:uiPriority w:val="29"/>
    <w:rsid w:val="006B1362"/>
    <w:rPr>
      <w:i/>
      <w:iCs/>
      <w:color w:val="404040" w:themeColor="text1" w:themeTint="BF"/>
    </w:rPr>
  </w:style>
  <w:style w:type="paragraph" w:styleId="ListParagraph">
    <w:name w:val="List Paragraph"/>
    <w:basedOn w:val="Normal"/>
    <w:uiPriority w:val="34"/>
    <w:qFormat/>
    <w:rsid w:val="006B1362"/>
    <w:pPr>
      <w:ind w:left="720"/>
      <w:contextualSpacing/>
    </w:pPr>
  </w:style>
  <w:style w:type="character" w:styleId="IntenseEmphasis">
    <w:name w:val="Intense Emphasis"/>
    <w:basedOn w:val="DefaultParagraphFont"/>
    <w:uiPriority w:val="21"/>
    <w:qFormat/>
    <w:rsid w:val="006B1362"/>
    <w:rPr>
      <w:i/>
      <w:iCs/>
      <w:color w:val="0F4761" w:themeColor="accent1" w:themeShade="BF"/>
    </w:rPr>
  </w:style>
  <w:style w:type="paragraph" w:styleId="IntenseQuote">
    <w:name w:val="Intense Quote"/>
    <w:basedOn w:val="Normal"/>
    <w:next w:val="Normal"/>
    <w:link w:val="IntenseQuoteChar"/>
    <w:uiPriority w:val="30"/>
    <w:qFormat/>
    <w:rsid w:val="006B13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1362"/>
    <w:rPr>
      <w:i/>
      <w:iCs/>
      <w:color w:val="0F4761" w:themeColor="accent1" w:themeShade="BF"/>
    </w:rPr>
  </w:style>
  <w:style w:type="character" w:styleId="IntenseReference">
    <w:name w:val="Intense Reference"/>
    <w:basedOn w:val="DefaultParagraphFont"/>
    <w:uiPriority w:val="32"/>
    <w:qFormat/>
    <w:rsid w:val="006B1362"/>
    <w:rPr>
      <w:b/>
      <w:bCs/>
      <w:smallCaps/>
      <w:color w:val="0F4761" w:themeColor="accent1" w:themeShade="BF"/>
      <w:spacing w:val="5"/>
    </w:rPr>
  </w:style>
  <w:style w:type="paragraph" w:styleId="NormalWeb">
    <w:name w:val="Normal (Web)"/>
    <w:basedOn w:val="Normal"/>
    <w:uiPriority w:val="99"/>
    <w:semiHidden/>
    <w:unhideWhenUsed/>
    <w:rsid w:val="00FC165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table" w:styleId="TableGrid">
    <w:name w:val="Table Grid"/>
    <w:basedOn w:val="TableNormal"/>
    <w:uiPriority w:val="39"/>
    <w:rsid w:val="007B5F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4</Pages>
  <Words>1156</Words>
  <Characters>6590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Aravinth S</dc:creator>
  <cp:keywords/>
  <dc:description/>
  <cp:lastModifiedBy>Aravinth S</cp:lastModifiedBy>
  <cp:revision>12</cp:revision>
  <dcterms:created xsi:type="dcterms:W3CDTF">2026-08-29T09:07:00Z</dcterms:created>
  <dcterms:modified xsi:type="dcterms:W3CDTF">2026-09-20T16:18:00Z</dcterms:modified>
</cp:coreProperties>
</file>