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12</w:t>
      </w:r>
    </w:p>
    <w:p>
      <w:pPr>
        <w:spacing w:before="0" w:after="240" w:line="288" w:lineRule="auto"/>
        <w:ind w:left="0" w:right="0" w:firstLine="0"/>
        <w:jc w:val="left"/>
        <w:pBdr>
          <w:bottom w:val="single" w:sz="6" w:space="6" w:color="D0D5DD"/>
        </w:pBdr>
      </w:pPr>
      <w:r>
        <w:rPr>
          <w:rFonts w:ascii="Arial" w:hAnsi="Arial"/>
          <w:b/>
          <w:color w:val="111827"/>
          <w:sz w:val="23"/>
        </w:rPr>
        <w:t>Discuss about the structure of winding-up of a company.</w:t>
      </w:r>
    </w:p>
    <w:p>
      <w:pPr>
        <w:keepNext/>
        <w:spacing w:before="220" w:after="100" w:line="276" w:lineRule="auto"/>
        <w:ind w:left="0" w:right="0" w:firstLine="0"/>
        <w:jc w:val="left"/>
      </w:pPr>
      <w:r>
        <w:rPr>
          <w:rFonts w:ascii="Arial" w:hAnsi="Arial"/>
          <w:b/>
          <w:color w:val="111827"/>
          <w:sz w:val="25"/>
        </w:rPr>
        <w:t>Introduction and Concept of Winding-Up</w:t>
      </w:r>
    </w:p>
    <w:p>
      <w:pPr>
        <w:spacing w:before="40" w:after="120" w:line="276" w:lineRule="auto"/>
        <w:ind w:left="0" w:right="0" w:firstLine="0"/>
        <w:jc w:val="left"/>
      </w:pPr>
      <w:r>
        <w:rPr>
          <w:rFonts w:ascii="Arial" w:hAnsi="Arial"/>
          <w:b/>
          <w:color w:val="1E1E1E"/>
          <w:sz w:val="21"/>
        </w:rPr>
        <w:t>Winding-up</w:t>
      </w:r>
      <w:r>
        <w:rPr>
          <w:rFonts w:ascii="Arial" w:hAnsi="Arial"/>
          <w:color w:val="1E1E1E"/>
          <w:sz w:val="21"/>
        </w:rPr>
        <w:t xml:space="preserve"> (commonly referred to as liquidation) is the formal legal process by which the life of a company is brought to an end, its assets are realized, its liabilities are paid off from the proceeds, and any surplus is distributed among the shareholders. Once the winding-up process is fully completed, the company is dissolved and ceases to exist as a separate legal entity.</w:t>
      </w:r>
    </w:p>
    <w:p>
      <w:pPr>
        <w:spacing w:before="40" w:after="120" w:line="276" w:lineRule="auto"/>
        <w:ind w:left="0" w:right="0" w:firstLine="0"/>
        <w:jc w:val="left"/>
      </w:pPr>
      <w:r>
        <w:rPr>
          <w:rFonts w:ascii="Arial" w:hAnsi="Arial"/>
          <w:color w:val="1E1E1E"/>
          <w:sz w:val="21"/>
        </w:rPr>
        <w:t xml:space="preserve">In India, the winding-up of companies is governed by the </w:t>
      </w:r>
      <w:r>
        <w:rPr>
          <w:rFonts w:ascii="Arial" w:hAnsi="Arial"/>
          <w:b/>
          <w:color w:val="1E1E1E"/>
          <w:sz w:val="21"/>
        </w:rPr>
        <w:t>Companies Act, 2013</w:t>
      </w:r>
      <w:r>
        <w:rPr>
          <w:rFonts w:ascii="Arial" w:hAnsi="Arial"/>
          <w:color w:val="1E1E1E"/>
          <w:sz w:val="21"/>
        </w:rPr>
        <w:t xml:space="preserve"> (alongside residual provisions of the Companies Act, 1956) and the </w:t>
      </w:r>
      <w:r>
        <w:rPr>
          <w:rFonts w:ascii="Arial" w:hAnsi="Arial"/>
          <w:b/>
          <w:color w:val="1E1E1E"/>
          <w:sz w:val="21"/>
        </w:rPr>
        <w:t>Insolvency and Bankruptcy Code (IBC), 2016</w:t>
      </w:r>
      <w:r>
        <w:rPr>
          <w:rFonts w:ascii="Arial" w:hAnsi="Arial"/>
          <w:color w:val="1E1E1E"/>
          <w:sz w:val="21"/>
        </w:rPr>
        <w:t>. While corporate insolvencies are predominantly handled under the streamlined framework of the IBC today, the traditional modes of winding-up under the Companies Act, 2013 remain applicable for solvent companies or specific statutory scenarios.</w:t>
      </w:r>
    </w:p>
    <w:p>
      <w:pPr>
        <w:keepNext/>
        <w:spacing w:before="220" w:after="100" w:line="276" w:lineRule="auto"/>
        <w:ind w:left="0" w:right="0" w:firstLine="0"/>
        <w:jc w:val="left"/>
      </w:pPr>
      <w:r>
        <w:rPr>
          <w:rFonts w:ascii="Arial" w:hAnsi="Arial"/>
          <w:b/>
          <w:color w:val="111827"/>
          <w:sz w:val="25"/>
        </w:rPr>
        <w:t>Modes of Winding-Up</w:t>
      </w:r>
    </w:p>
    <w:p>
      <w:pPr>
        <w:spacing w:before="40" w:after="120" w:line="276" w:lineRule="auto"/>
        <w:ind w:left="0" w:right="0" w:firstLine="0"/>
        <w:jc w:val="left"/>
      </w:pPr>
      <w:r>
        <w:rPr>
          <w:rFonts w:ascii="Arial" w:hAnsi="Arial"/>
          <w:color w:val="1E1E1E"/>
          <w:sz w:val="21"/>
        </w:rPr>
        <w:t>Under Section 270 of the Companies Act, 2013, the winding-up of a company may be categorized into two primary modes:</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tbl>
      <w:tblPr>
        <w:tblW w:type="auto" w:w="0"/>
        <w:jc w:val="center"/>
        <w:tblLayout w:type="fixed"/>
        <w:tblLook w:firstColumn="1" w:firstRow="1" w:lastColumn="0" w:lastRow="0" w:noHBand="0" w:noVBand="1" w:val="04A0"/>
      </w:tblPr>
      <w:tblGrid>
        <w:gridCol w:w="9648"/>
      </w:tblGrid>
      <w:tr>
        <w:trPr>
          <w:cantSplit/>
          <w:tblHeader/>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MODES OF WINDING-UP OF A COMPANY</w:t>
            </w:r>
          </w:p>
        </w:tc>
      </w:tr>
    </w:tbl>
    <w:p>
      <w:pPr>
        <w:spacing w:before="0" w:after="80" w:line="276" w:lineRule="auto"/>
        <w:ind w:left="0" w:right="0" w:firstLine="0"/>
        <w:jc w:val="left"/>
      </w:pPr>
    </w:p>
    <w:p>
      <w:pPr>
        <w:spacing w:before="40" w:after="120" w:line="276" w:lineRule="auto"/>
        <w:ind w:left="0" w:right="0" w:firstLine="0"/>
        <w:jc w:val="left"/>
      </w:pPr>
      <w:r>
        <w:rPr>
          <w:rFonts w:ascii="Arial" w:hAnsi="Arial"/>
          <w:color w:val="1E1E1E"/>
          <w:sz w:val="21"/>
        </w:rPr>
        <w:t>+-------------------------------------------------------------+</w:t>
      </w:r>
    </w:p>
    <w:p>
      <w:pPr>
        <w:spacing w:before="40" w:after="100" w:line="276" w:lineRule="auto"/>
        <w:ind w:left="461" w:right="0" w:hanging="317"/>
        <w:jc w:val="left"/>
      </w:pPr>
      <w:r>
        <w:rPr>
          <w:rFonts w:ascii="Arial" w:hAnsi="Arial"/>
          <w:b/>
          <w:sz w:val="21"/>
        </w:rPr>
        <w:t xml:space="preserve">1. </w:t>
      </w:r>
      <w:r>
        <w:rPr>
          <w:rFonts w:ascii="Arial" w:hAnsi="Arial"/>
          <w:color w:val="1E1E1E"/>
          <w:sz w:val="21"/>
        </w:rPr>
        <w:t>Winding-Up by the Tribunal (Compulsory Winding-Up)</w:t>
      </w:r>
    </w:p>
    <w:p>
      <w:pPr>
        <w:keepNext/>
        <w:spacing w:before="180" w:after="60" w:line="276" w:lineRule="auto"/>
        <w:ind w:left="0" w:right="0" w:firstLine="0"/>
        <w:jc w:val="left"/>
      </w:pPr>
      <w:r>
        <w:rPr>
          <w:rFonts w:ascii="Arial" w:hAnsi="Arial"/>
          <w:b/>
          <w:color w:val="111827"/>
          <w:sz w:val="22"/>
        </w:rPr>
        <w:t>2. Voluntary Winding-Up (Initiated by Shareholders/Creditors)</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p>
      <w:pPr>
        <w:keepNext/>
        <w:spacing w:before="220" w:after="100" w:line="276" w:lineRule="auto"/>
        <w:ind w:left="0" w:right="0" w:firstLine="0"/>
        <w:jc w:val="left"/>
      </w:pPr>
      <w:r>
        <w:rPr>
          <w:rFonts w:ascii="Arial" w:hAnsi="Arial"/>
          <w:b/>
          <w:color w:val="111827"/>
          <w:sz w:val="25"/>
        </w:rPr>
        <w:t>Mode 1: Winding-Up by the Tribunal (Compulsory Winding-Up)</w:t>
      </w:r>
    </w:p>
    <w:p>
      <w:pPr>
        <w:spacing w:before="40" w:after="120" w:line="276" w:lineRule="auto"/>
        <w:ind w:left="0" w:right="0" w:firstLine="0"/>
        <w:jc w:val="left"/>
      </w:pPr>
      <w:r>
        <w:rPr>
          <w:rFonts w:ascii="Arial" w:hAnsi="Arial"/>
          <w:color w:val="1E1E1E"/>
          <w:sz w:val="21"/>
        </w:rPr>
        <w:t xml:space="preserve">Winding-up by the Tribunal (National Company Law Tribunal - </w:t>
      </w:r>
      <w:r>
        <w:rPr>
          <w:rFonts w:ascii="Arial" w:hAnsi="Arial"/>
          <w:b/>
          <w:color w:val="1E1E1E"/>
          <w:sz w:val="21"/>
        </w:rPr>
        <w:t>NCLT</w:t>
      </w:r>
      <w:r>
        <w:rPr>
          <w:rFonts w:ascii="Arial" w:hAnsi="Arial"/>
          <w:color w:val="1E1E1E"/>
          <w:sz w:val="21"/>
        </w:rPr>
        <w:t>) is a court-supervised legal process initiated when a company fails to meet its statutory obligations, becomes chronically insolvent, or operates against public interest.</w:t>
      </w:r>
    </w:p>
    <w:p>
      <w:pPr>
        <w:keepNext/>
        <w:spacing w:before="220" w:after="100" w:line="276" w:lineRule="auto"/>
        <w:ind w:left="0" w:right="0" w:firstLine="0"/>
        <w:jc w:val="left"/>
      </w:pPr>
      <w:r>
        <w:rPr>
          <w:rFonts w:ascii="Arial" w:hAnsi="Arial"/>
          <w:b/>
          <w:color w:val="111827"/>
          <w:sz w:val="25"/>
        </w:rPr>
        <w:t>1. Grounds for Winding-Up by the Tribunal (Section 271)</w:t>
      </w:r>
    </w:p>
    <w:p>
      <w:pPr>
        <w:spacing w:before="40" w:after="120" w:line="276" w:lineRule="auto"/>
        <w:ind w:left="0" w:right="0" w:firstLine="0"/>
        <w:jc w:val="left"/>
      </w:pPr>
      <w:r>
        <w:rPr>
          <w:rFonts w:ascii="Arial" w:hAnsi="Arial"/>
          <w:color w:val="1E1E1E"/>
          <w:sz w:val="21"/>
        </w:rPr>
        <w:t>The NCLT may order the winding-up of a company on any of the following statutory grounds: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Special Resolution:</w:t>
      </w:r>
      <w:r>
        <w:rPr>
          <w:rFonts w:ascii="Arial" w:hAnsi="Arial"/>
          <w:color w:val="1E1E1E"/>
          <w:sz w:val="21"/>
        </w:rPr>
        <w:t xml:space="preserve"> The company has passed a special resolution resolving that it be wound up by the Tribunal.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Default in Filing:</w:t>
      </w:r>
      <w:r>
        <w:rPr>
          <w:rFonts w:ascii="Arial" w:hAnsi="Arial"/>
          <w:color w:val="1E1E1E"/>
          <w:sz w:val="21"/>
        </w:rPr>
        <w:t xml:space="preserve"> The company has defaulted in filing its financial statements or annual returns with the Registrar of Companies (ROC) for immediately preceding </w:t>
      </w:r>
      <w:r>
        <w:rPr>
          <w:rFonts w:ascii="Arial" w:hAnsi="Arial"/>
          <w:b/>
          <w:color w:val="1E1E1E"/>
          <w:sz w:val="21"/>
        </w:rPr>
        <w:t>five consecutive financial years</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Against Sovereignty and Integrity:</w:t>
      </w:r>
      <w:r>
        <w:rPr>
          <w:rFonts w:ascii="Arial" w:hAnsi="Arial"/>
          <w:color w:val="1E1E1E"/>
          <w:sz w:val="21"/>
        </w:rPr>
        <w:t xml:space="preserve"> The company has acted against the interests of the sovereignty and integrity of India, security of the state, friendly relations with foreign states, public order, decency, or morality.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NCLT Order on Application:</w:t>
      </w:r>
      <w:r>
        <w:rPr>
          <w:rFonts w:ascii="Arial" w:hAnsi="Arial"/>
          <w:color w:val="1E1E1E"/>
          <w:sz w:val="21"/>
        </w:rPr>
        <w:t xml:space="preserve"> On an application by the Registrar or any other person authorized by the Central Government, the Tribunal is of the opinion that the affairs of the company have been conducted in a fraudulent manner or the company was formed for fraudulent and unlawful purposes.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Failure to Commence Business:</w:t>
      </w:r>
      <w:r>
        <w:rPr>
          <w:rFonts w:ascii="Arial" w:hAnsi="Arial"/>
          <w:color w:val="1E1E1E"/>
          <w:sz w:val="21"/>
        </w:rPr>
        <w:t xml:space="preserve"> The company has failed to commence its business within a year of incorporation or has suspended its business for a whole year.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Inability to Pay Debts (Section 271(1)(e) read with Section 271(2)):</w:t>
      </w:r>
      <w:r>
        <w:rPr>
          <w:rFonts w:ascii="Arial" w:hAnsi="Arial"/>
          <w:color w:val="1E1E1E"/>
          <w:sz w:val="21"/>
        </w:rPr>
        <w:t xml:space="preserve"> The company is unable to pay its debts (subject to the interface and overriding framework of the Insolvency and Bankruptcy Code, 2016).</w:t>
      </w:r>
    </w:p>
    <w:p>
      <w:pPr>
        <w:keepNext/>
        <w:spacing w:before="220" w:after="100" w:line="276" w:lineRule="auto"/>
        <w:ind w:left="0" w:right="0" w:firstLine="0"/>
        <w:jc w:val="left"/>
      </w:pPr>
      <w:r>
        <w:rPr>
          <w:rFonts w:ascii="Arial" w:hAnsi="Arial"/>
          <w:b/>
          <w:color w:val="111827"/>
          <w:sz w:val="25"/>
        </w:rPr>
        <w:t>2. Who Can File a Petition? (Section 272)</w:t>
      </w:r>
    </w:p>
    <w:p>
      <w:pPr>
        <w:spacing w:before="40" w:after="120" w:line="276" w:lineRule="auto"/>
        <w:ind w:left="0" w:right="0" w:firstLine="0"/>
        <w:jc w:val="left"/>
      </w:pPr>
      <w:r>
        <w:rPr>
          <w:rFonts w:ascii="Arial" w:hAnsi="Arial"/>
          <w:color w:val="1E1E1E"/>
          <w:sz w:val="21"/>
        </w:rPr>
        <w:t>A petition for winding-up can be filed by:</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The company itself.</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Any creditor or creditors (including contingent or prospective creditors).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Any contributory or contributories (shareholders).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The Registrar of Companies (ROC).</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Any person authorized by the Central Government.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The Central or State Government in cases involving national security or public morality.</w:t>
      </w:r>
    </w:p>
    <w:p>
      <w:pPr>
        <w:keepNext/>
        <w:spacing w:before="220" w:after="100" w:line="276" w:lineRule="auto"/>
        <w:ind w:left="0" w:right="0" w:firstLine="0"/>
        <w:jc w:val="left"/>
      </w:pPr>
      <w:r>
        <w:rPr>
          <w:rFonts w:ascii="Arial" w:hAnsi="Arial"/>
          <w:b/>
          <w:color w:val="111827"/>
          <w:sz w:val="25"/>
        </w:rPr>
        <w:t>3. Procedure for Tribunal Winding-Up</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Filing the Petition:</w:t>
      </w:r>
      <w:r>
        <w:rPr>
          <w:rFonts w:ascii="Arial" w:hAnsi="Arial"/>
          <w:color w:val="1E1E1E"/>
          <w:sz w:val="21"/>
        </w:rPr>
        <w:t xml:space="preserve"> A winding-up petition is submitted to the NCLT along with a statement of affairs of the company.</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Hearing and Interim Orders:</w:t>
      </w:r>
      <w:r>
        <w:rPr>
          <w:rFonts w:ascii="Arial" w:hAnsi="Arial"/>
          <w:color w:val="1E1E1E"/>
          <w:sz w:val="21"/>
        </w:rPr>
        <w:t xml:space="preserve"> The Tribunal evaluates the petition, issues notices to the company, and may pass interim orders—such as appointing a provisional liquidator to safeguard company assets.</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Passing the Winding-Up Order:</w:t>
      </w:r>
      <w:r>
        <w:rPr>
          <w:rFonts w:ascii="Arial" w:hAnsi="Arial"/>
          <w:color w:val="1E1E1E"/>
          <w:sz w:val="21"/>
        </w:rPr>
        <w:t xml:space="preserve"> If the NCLT is satisfied, it issues a winding-up order and appoints a </w:t>
      </w:r>
      <w:r>
        <w:rPr>
          <w:rFonts w:ascii="Arial" w:hAnsi="Arial"/>
          <w:b/>
          <w:color w:val="1E1E1E"/>
          <w:sz w:val="21"/>
        </w:rPr>
        <w:t>Company Liquidator</w:t>
      </w:r>
      <w:r>
        <w:rPr>
          <w:rFonts w:ascii="Arial" w:hAnsi="Arial"/>
          <w:color w:val="1E1E1E"/>
          <w:sz w:val="21"/>
        </w:rPr>
        <w:t xml:space="preserve"> from a panel maintained by the government.</w:t>
      </w:r>
    </w:p>
    <w:p>
      <w:pPr>
        <w:spacing w:before="40" w:after="100" w:line="276" w:lineRule="auto"/>
        <w:ind w:left="461" w:right="0" w:hanging="317"/>
        <w:jc w:val="left"/>
      </w:pPr>
      <w:r>
        <w:rPr>
          <w:rFonts w:ascii="Arial" w:hAnsi="Arial"/>
          <w:b/>
          <w:sz w:val="21"/>
        </w:rPr>
        <w:t xml:space="preserve">4. </w:t>
      </w:r>
      <w:r>
        <w:rPr>
          <w:rFonts w:ascii="Arial" w:hAnsi="Arial"/>
          <w:b/>
          <w:color w:val="1E1E1E"/>
          <w:sz w:val="21"/>
        </w:rPr>
        <w:t>Custody of Property (Section 281):</w:t>
      </w:r>
      <w:r>
        <w:rPr>
          <w:rFonts w:ascii="Arial" w:hAnsi="Arial"/>
          <w:color w:val="1E1E1E"/>
          <w:sz w:val="21"/>
        </w:rPr>
        <w:t xml:space="preserve"> Upon the winding-up order, the Company Liquidator takes into custody all properties, assets, and actionable claims of the company.</w:t>
      </w:r>
    </w:p>
    <w:p>
      <w:pPr>
        <w:spacing w:before="40" w:after="100" w:line="276" w:lineRule="auto"/>
        <w:ind w:left="461" w:right="0" w:hanging="317"/>
        <w:jc w:val="left"/>
      </w:pPr>
      <w:r>
        <w:rPr>
          <w:rFonts w:ascii="Arial" w:hAnsi="Arial"/>
          <w:b/>
          <w:sz w:val="21"/>
        </w:rPr>
        <w:t xml:space="preserve">5. </w:t>
      </w:r>
      <w:r>
        <w:rPr>
          <w:rFonts w:ascii="Arial" w:hAnsi="Arial"/>
          <w:b/>
          <w:color w:val="1E1E1E"/>
          <w:sz w:val="21"/>
        </w:rPr>
        <w:t>Settlement of List of Contributories:</w:t>
      </w:r>
      <w:r>
        <w:rPr>
          <w:rFonts w:ascii="Arial" w:hAnsi="Arial"/>
          <w:color w:val="1E1E1E"/>
          <w:sz w:val="21"/>
        </w:rPr>
        <w:t xml:space="preserve"> The liquidator compiles and settles the list of contributories (shareholders liable to contribute to assets), collects calls, and realizes corporate assets.</w:t>
      </w:r>
    </w:p>
    <w:p>
      <w:pPr>
        <w:spacing w:before="40" w:after="100" w:line="276" w:lineRule="auto"/>
        <w:ind w:left="461" w:right="0" w:hanging="317"/>
        <w:jc w:val="left"/>
      </w:pPr>
      <w:r>
        <w:rPr>
          <w:rFonts w:ascii="Arial" w:hAnsi="Arial"/>
          <w:b/>
          <w:sz w:val="21"/>
        </w:rPr>
        <w:t xml:space="preserve">6. </w:t>
      </w:r>
      <w:r>
        <w:rPr>
          <w:rFonts w:ascii="Arial" w:hAnsi="Arial"/>
          <w:b/>
          <w:color w:val="1E1E1E"/>
          <w:sz w:val="21"/>
        </w:rPr>
        <w:t>Dissolution of the Company:</w:t>
      </w:r>
      <w:r>
        <w:rPr>
          <w:rFonts w:ascii="Arial" w:hAnsi="Arial"/>
          <w:color w:val="1E1E1E"/>
          <w:sz w:val="21"/>
        </w:rPr>
        <w:t xml:space="preserve"> Once all assets are realized, debts discharged, and surplus distributed, the liquidator applies to the NCLT for an order of dissolution. The NCLT orders that the company be dissolved from the date of the order, and a copy is filed with the ROC.</w:t>
      </w:r>
    </w:p>
    <w:p>
      <w:pPr>
        <w:keepNext/>
        <w:spacing w:before="220" w:after="100" w:line="276" w:lineRule="auto"/>
        <w:ind w:left="0" w:right="0" w:firstLine="0"/>
        <w:jc w:val="left"/>
      </w:pPr>
      <w:r>
        <w:rPr>
          <w:rFonts w:ascii="Arial" w:hAnsi="Arial"/>
          <w:b/>
          <w:color w:val="111827"/>
          <w:sz w:val="25"/>
        </w:rPr>
        <w:t>Mode 2: Voluntary Winding-Up</w:t>
      </w:r>
    </w:p>
    <w:p>
      <w:pPr>
        <w:spacing w:before="40" w:after="120" w:line="276" w:lineRule="auto"/>
        <w:ind w:left="0" w:right="0" w:firstLine="0"/>
        <w:jc w:val="left"/>
      </w:pPr>
      <w:r>
        <w:rPr>
          <w:rFonts w:ascii="Arial" w:hAnsi="Arial"/>
          <w:color w:val="1E1E1E"/>
          <w:sz w:val="21"/>
        </w:rPr>
        <w:t>Voluntary winding-up occurs when the members or creditors of a company decide to wind up its affairs without judicial intervention. Historically governed under the Companies Act, voluntary winding-up is now closely integrated with Chapter II of the Insolvency and Bankruptcy Code, 2016 for corporate entities.</w:t>
      </w:r>
    </w:p>
    <w:p>
      <w:pPr>
        <w:keepNext/>
        <w:spacing w:before="220" w:after="100" w:line="276" w:lineRule="auto"/>
        <w:ind w:left="0" w:right="0" w:firstLine="0"/>
        <w:jc w:val="left"/>
      </w:pPr>
      <w:r>
        <w:rPr>
          <w:rFonts w:ascii="Arial" w:hAnsi="Arial"/>
          <w:b/>
          <w:color w:val="111827"/>
          <w:sz w:val="25"/>
        </w:rPr>
        <w:t>1. Grounds for Voluntary Winding-Up</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Expiry of Tenure:</w:t>
      </w:r>
      <w:r>
        <w:rPr>
          <w:rFonts w:ascii="Arial" w:hAnsi="Arial"/>
          <w:color w:val="1E1E1E"/>
          <w:sz w:val="21"/>
        </w:rPr>
        <w:t xml:space="preserve"> When the period fixed for the duration of the company by the articles expires, or an event occurs upon the occurrence of which the articles provide that the company is to be dissolved.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Passing of Resolution:</w:t>
      </w:r>
      <w:r>
        <w:rPr>
          <w:rFonts w:ascii="Arial" w:hAnsi="Arial"/>
          <w:color w:val="1E1E1E"/>
          <w:sz w:val="21"/>
        </w:rPr>
        <w:t xml:space="preserve"> The company passes a resolution in a general meeting requiring the company to be wound up voluntarily due to financial inability or business closure.</w:t>
      </w:r>
    </w:p>
    <w:p>
      <w:pPr>
        <w:keepNext/>
        <w:spacing w:before="220" w:after="100" w:line="276" w:lineRule="auto"/>
        <w:ind w:left="0" w:right="0" w:firstLine="0"/>
        <w:jc w:val="left"/>
      </w:pPr>
      <w:r>
        <w:rPr>
          <w:rFonts w:ascii="Arial" w:hAnsi="Arial"/>
          <w:b/>
          <w:color w:val="111827"/>
          <w:sz w:val="25"/>
        </w:rPr>
        <w:t>2. Types of Voluntary Winding-Up</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Members’ Voluntary Winding-Up:</w:t>
      </w:r>
      <w:r>
        <w:rPr>
          <w:rFonts w:ascii="Arial" w:hAnsi="Arial"/>
          <w:color w:val="1E1E1E"/>
          <w:sz w:val="21"/>
        </w:rPr>
        <w:t xml:space="preserve"> Utilized when the company is </w:t>
      </w:r>
      <w:r>
        <w:rPr>
          <w:rFonts w:ascii="Arial" w:hAnsi="Arial"/>
          <w:b/>
          <w:color w:val="1E1E1E"/>
          <w:sz w:val="21"/>
        </w:rPr>
        <w:t>solvent</w:t>
      </w:r>
      <w:r>
        <w:rPr>
          <w:rFonts w:ascii="Arial" w:hAnsi="Arial"/>
          <w:color w:val="1E1E1E"/>
          <w:sz w:val="21"/>
        </w:rPr>
        <w:t xml:space="preserve"> and able to pay its debts in full. A declaration of solvency must be verified by affidavit by the directors.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Creditors’ Voluntary Winding-Up:</w:t>
      </w:r>
      <w:r>
        <w:rPr>
          <w:rFonts w:ascii="Arial" w:hAnsi="Arial"/>
          <w:color w:val="1E1E1E"/>
          <w:sz w:val="21"/>
        </w:rPr>
        <w:t xml:space="preserve"> Utilized when the company is </w:t>
      </w:r>
      <w:r>
        <w:rPr>
          <w:rFonts w:ascii="Arial" w:hAnsi="Arial"/>
          <w:b/>
          <w:color w:val="1E1E1E"/>
          <w:sz w:val="21"/>
        </w:rPr>
        <w:t>insolvent</w:t>
      </w:r>
      <w:r>
        <w:rPr>
          <w:rFonts w:ascii="Arial" w:hAnsi="Arial"/>
          <w:color w:val="1E1E1E"/>
          <w:sz w:val="21"/>
        </w:rPr>
        <w:t xml:space="preserve"> and unable to pay its debts. Control shifts significantly toward creditors to protect their financial interests.</w:t>
      </w:r>
    </w:p>
    <w:p>
      <w:pPr>
        <w:keepNext/>
        <w:spacing w:before="220" w:after="100" w:line="276" w:lineRule="auto"/>
        <w:ind w:left="0" w:right="0" w:firstLine="0"/>
        <w:jc w:val="left"/>
      </w:pPr>
      <w:r>
        <w:rPr>
          <w:rFonts w:ascii="Arial" w:hAnsi="Arial"/>
          <w:b/>
          <w:color w:val="111827"/>
          <w:sz w:val="25"/>
        </w:rPr>
        <w:t>3. Procedure for Voluntary Winding-Up</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Board Meeting and Declaration of Solvency:</w:t>
      </w:r>
      <w:r>
        <w:rPr>
          <w:rFonts w:ascii="Arial" w:hAnsi="Arial"/>
          <w:color w:val="1E1E1E"/>
          <w:sz w:val="21"/>
        </w:rPr>
        <w:t xml:space="preserve"> Directors convene a board meeting and make a statutory declaration verifying that the company has no debts or that it will be able to pay its debts in full from the proceeds of assets sold during liquidation.</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Resolution of Shareholders:</w:t>
      </w:r>
      <w:r>
        <w:rPr>
          <w:rFonts w:ascii="Arial" w:hAnsi="Arial"/>
          <w:color w:val="1E1E1E"/>
          <w:sz w:val="21"/>
        </w:rPr>
        <w:t xml:space="preserve"> Within five weeks of the declaration, a general meeting of shareholders is convened to pass a special resolution for winding-up the company.</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Appointment of Liquidator:</w:t>
      </w:r>
      <w:r>
        <w:rPr>
          <w:rFonts w:ascii="Arial" w:hAnsi="Arial"/>
          <w:color w:val="1E1E1E"/>
          <w:sz w:val="21"/>
        </w:rPr>
        <w:t xml:space="preserve"> An Insolvency Professional or liquidator is appointed to oversee asset sales, creditor settlements, and distribution.</w:t>
      </w:r>
    </w:p>
    <w:p>
      <w:pPr>
        <w:spacing w:before="40" w:after="100" w:line="276" w:lineRule="auto"/>
        <w:ind w:left="461" w:right="0" w:hanging="317"/>
        <w:jc w:val="left"/>
      </w:pPr>
      <w:r>
        <w:rPr>
          <w:rFonts w:ascii="Arial" w:hAnsi="Arial"/>
          <w:b/>
          <w:sz w:val="21"/>
        </w:rPr>
        <w:t xml:space="preserve">4. </w:t>
      </w:r>
      <w:r>
        <w:rPr>
          <w:rFonts w:ascii="Arial" w:hAnsi="Arial"/>
          <w:b/>
          <w:color w:val="1E1E1E"/>
          <w:sz w:val="21"/>
        </w:rPr>
        <w:t>Claims and Realization:</w:t>
      </w:r>
      <w:r>
        <w:rPr>
          <w:rFonts w:ascii="Arial" w:hAnsi="Arial"/>
          <w:color w:val="1E1E1E"/>
          <w:sz w:val="21"/>
        </w:rPr>
        <w:t xml:space="preserve"> The liquidator invites claims from creditors, realizes assets, liquidates inventory, and clears all outstanding liabilities.</w:t>
      </w:r>
    </w:p>
    <w:p>
      <w:pPr>
        <w:spacing w:before="40" w:after="100" w:line="276" w:lineRule="auto"/>
        <w:ind w:left="461" w:right="0" w:hanging="317"/>
        <w:jc w:val="left"/>
      </w:pPr>
      <w:r>
        <w:rPr>
          <w:rFonts w:ascii="Arial" w:hAnsi="Arial"/>
          <w:b/>
          <w:sz w:val="21"/>
        </w:rPr>
        <w:t xml:space="preserve">5. </w:t>
      </w:r>
      <w:r>
        <w:rPr>
          <w:rFonts w:ascii="Arial" w:hAnsi="Arial"/>
          <w:b/>
          <w:color w:val="1E1E1E"/>
          <w:sz w:val="21"/>
        </w:rPr>
        <w:t>Final Meeting and Dissolution:</w:t>
      </w:r>
      <w:r>
        <w:rPr>
          <w:rFonts w:ascii="Arial" w:hAnsi="Arial"/>
          <w:color w:val="1E1E1E"/>
          <w:sz w:val="21"/>
        </w:rPr>
        <w:t xml:space="preserve"> Once affairs are fully wound up, the liquidator prepares a final account showing how the winding-up was conducted and convenes a final general meeting of shareholders. Within two weeks, a copy of the final account and report is filed with the ROC and NCLT, which subsequently orders the formal dissolution of the company.</w:t>
      </w:r>
    </w:p>
    <w:p>
      <w:pPr>
        <w:keepNext/>
        <w:spacing w:before="220" w:after="100" w:line="276" w:lineRule="auto"/>
        <w:ind w:left="0" w:right="0" w:firstLine="0"/>
        <w:jc w:val="left"/>
      </w:pPr>
      <w:r>
        <w:rPr>
          <w:rFonts w:ascii="Arial" w:hAnsi="Arial"/>
          <w:b/>
          <w:color w:val="111827"/>
          <w:sz w:val="25"/>
        </w:rPr>
        <w:t>Consequences of a Winding-Up Order</w:t>
      </w:r>
    </w:p>
    <w:p>
      <w:pPr>
        <w:spacing w:before="40" w:after="120" w:line="276" w:lineRule="auto"/>
        <w:ind w:left="0" w:right="0" w:firstLine="0"/>
        <w:jc w:val="left"/>
      </w:pPr>
      <w:r>
        <w:rPr>
          <w:rFonts w:ascii="Arial" w:hAnsi="Arial"/>
          <w:color w:val="1E1E1E"/>
          <w:sz w:val="21"/>
        </w:rPr>
        <w:t>A winding-up order triggers immediate legal and operational changes: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Stay of Legal Proceedings (Section 279):</w:t>
      </w:r>
      <w:r>
        <w:rPr>
          <w:rFonts w:ascii="Arial" w:hAnsi="Arial"/>
          <w:color w:val="1E1E1E"/>
          <w:sz w:val="21"/>
        </w:rPr>
        <w:t xml:space="preserve"> When a winding-up order has been passed, no suit or other legal proceeding can be commenced or proceeded with against the company except with the leave of the Tribunal and subject to such terms as the Tribunal may impose.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Notice of Order:</w:t>
      </w:r>
      <w:r>
        <w:rPr>
          <w:rFonts w:ascii="Arial" w:hAnsi="Arial"/>
          <w:color w:val="1E1E1E"/>
          <w:sz w:val="21"/>
        </w:rPr>
        <w:t xml:space="preserve"> The liquidator must inform the Registrar of Companies within 30 days of the winding-up order.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Cessation of Business:</w:t>
      </w:r>
      <w:r>
        <w:rPr>
          <w:rFonts w:ascii="Arial" w:hAnsi="Arial"/>
          <w:color w:val="1E1E1E"/>
          <w:sz w:val="21"/>
        </w:rPr>
        <w:t xml:space="preserve"> The company ceases to carry on its business, except so far as required for the beneficial winding-up of its operations. The corporate powers of the board of directors cease, and all powers vest in the Company Liquidator.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Employment Contracts:</w:t>
      </w:r>
      <w:r>
        <w:rPr>
          <w:rFonts w:ascii="Arial" w:hAnsi="Arial"/>
          <w:color w:val="1E1E1E"/>
          <w:sz w:val="21"/>
        </w:rPr>
        <w:t xml:space="preserve"> A winding-up order operates as a notice of discharge to the officers and employees of the company (except where the business is continued for beneficial winding-up).</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Avoidance of Certain Transactions:</w:t>
      </w:r>
      <w:r>
        <w:rPr>
          <w:rFonts w:ascii="Arial" w:hAnsi="Arial"/>
          <w:color w:val="1E1E1E"/>
          <w:sz w:val="21"/>
        </w:rPr>
        <w:t xml:space="preserve"> Fraudulent preferences, transfers of property made within a specified period prior to winding-up, or floating charges created within 12 months before commencement may be declared invalid by the Tribunal.</w:t>
      </w:r>
    </w:p>
    <w:p>
      <w:pPr>
        <w:keepNext/>
        <w:spacing w:before="220" w:after="100" w:line="276" w:lineRule="auto"/>
        <w:ind w:left="0" w:right="0" w:firstLine="0"/>
        <w:jc w:val="left"/>
      </w:pPr>
      <w:r>
        <w:rPr>
          <w:rFonts w:ascii="Arial" w:hAnsi="Arial"/>
          <w:b/>
          <w:color w:val="111827"/>
          <w:sz w:val="25"/>
        </w:rPr>
        <w:t>Summary and Conclusion</w:t>
      </w:r>
    </w:p>
    <w:p>
      <w:pPr>
        <w:spacing w:before="40" w:after="120" w:line="276" w:lineRule="auto"/>
        <w:ind w:left="0" w:right="0" w:firstLine="0"/>
        <w:jc w:val="left"/>
      </w:pPr>
      <w:r>
        <w:rPr>
          <w:rFonts w:ascii="Arial" w:hAnsi="Arial"/>
          <w:color w:val="1E1E1E"/>
          <w:sz w:val="21"/>
        </w:rPr>
        <w:t>The structure of the winding-up of a company provides an orderly, legally regulated exit strategy for commercial entities that have completed their life cycle, suffered commercial failure, or run afoul of statutory mandates.</w:t>
      </w:r>
    </w:p>
    <w:p>
      <w:pPr>
        <w:spacing w:before="40" w:after="120" w:line="276" w:lineRule="auto"/>
        <w:ind w:left="0" w:right="0" w:firstLine="0"/>
        <w:jc w:val="left"/>
      </w:pPr>
      <w:r>
        <w:rPr>
          <w:rFonts w:ascii="Arial" w:hAnsi="Arial"/>
          <w:color w:val="1E1E1E"/>
          <w:sz w:val="21"/>
        </w:rPr>
        <w:t xml:space="preserve">Whether initiated compulsorily through the </w:t>
      </w:r>
      <w:r>
        <w:rPr>
          <w:rFonts w:ascii="Arial" w:hAnsi="Arial"/>
          <w:b/>
          <w:color w:val="1E1E1E"/>
          <w:sz w:val="21"/>
        </w:rPr>
        <w:t>NCLT (Tribunal)</w:t>
      </w:r>
      <w:r>
        <w:rPr>
          <w:rFonts w:ascii="Arial" w:hAnsi="Arial"/>
          <w:color w:val="1E1E1E"/>
          <w:sz w:val="21"/>
        </w:rPr>
        <w:t xml:space="preserve"> due to default, fraud, or insolvency, or voluntarily by </w:t>
      </w:r>
      <w:r>
        <w:rPr>
          <w:rFonts w:ascii="Arial" w:hAnsi="Arial"/>
          <w:b/>
          <w:color w:val="1E1E1E"/>
          <w:sz w:val="21"/>
        </w:rPr>
        <w:t>shareholders and creditors</w:t>
      </w:r>
      <w:r>
        <w:rPr>
          <w:rFonts w:ascii="Arial" w:hAnsi="Arial"/>
          <w:color w:val="1E1E1E"/>
          <w:sz w:val="21"/>
        </w:rPr>
        <w:t xml:space="preserve"> under a declaration of solvency, the process ensures that corporate assets are systematically realized, claims of creditors and stakeholders are satisfied fairly in accordance with statutory priority rules, and remaining surpluses are distributed transparently before the company is legally dissolved.</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