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Describe the objectives of The Trademarks Act, 1999.</w:t>
      </w:r>
    </w:p>
    <w:p>
      <w:pPr>
        <w:keepNext/>
        <w:spacing w:before="220" w:after="100" w:line="276" w:lineRule="auto"/>
        <w:ind w:left="0" w:right="0" w:firstLine="0"/>
        <w:jc w:val="left"/>
      </w:pPr>
      <w:r>
        <w:rPr>
          <w:rFonts w:ascii="Arial" w:hAnsi="Arial"/>
          <w:b/>
          <w:color w:val="111827"/>
          <w:sz w:val="25"/>
        </w:rPr>
        <w:t>Introduction and Historical Background</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Trade Marks Act, 1999</w:t>
      </w:r>
      <w:r>
        <w:rPr>
          <w:rFonts w:ascii="Arial" w:hAnsi="Arial"/>
          <w:color w:val="1E1E1E"/>
          <w:sz w:val="21"/>
        </w:rPr>
        <w:t xml:space="preserve"> is a landmark piece of intellectual property legislation in India that provides for the registration and better protection of trademarks for goods and services, while also preventing fraudulent or deceptive use of marks in commerce.</w:t>
      </w:r>
    </w:p>
    <w:p>
      <w:pPr>
        <w:spacing w:before="40" w:after="120" w:line="276" w:lineRule="auto"/>
        <w:ind w:left="0" w:right="0" w:firstLine="0"/>
        <w:jc w:val="left"/>
      </w:pPr>
      <w:r>
        <w:rPr>
          <w:rFonts w:ascii="Arial" w:hAnsi="Arial"/>
          <w:color w:val="1E1E1E"/>
          <w:sz w:val="21"/>
        </w:rPr>
        <w:t xml:space="preserve">Prior to 1999, trademark law in India was governed by the </w:t>
      </w:r>
      <w:r>
        <w:rPr>
          <w:rFonts w:ascii="Arial" w:hAnsi="Arial"/>
          <w:b/>
          <w:color w:val="1E1E1E"/>
          <w:sz w:val="21"/>
        </w:rPr>
        <w:t>Trade and Merchandise Marks Act, 1958</w:t>
      </w:r>
      <w:r>
        <w:rPr>
          <w:rFonts w:ascii="Arial" w:hAnsi="Arial"/>
          <w:color w:val="1E1E1E"/>
          <w:sz w:val="21"/>
        </w:rPr>
        <w:t>. However, as India underwent rapid economic liberalization, globalization, and industrial expansion in the 1990s, the 1958 statute became outdated. It failed to address modern commercial realities such as international trade standards, the expansion of the service sector (since the old Act primarily covered goods), digital branding, e-commerce, and the need for speedier registration procedures.</w:t>
      </w:r>
    </w:p>
    <w:p>
      <w:pPr>
        <w:spacing w:before="40" w:after="120" w:line="276" w:lineRule="auto"/>
        <w:ind w:left="0" w:right="0" w:firstLine="0"/>
        <w:jc w:val="left"/>
      </w:pPr>
      <w:r>
        <w:rPr>
          <w:rFonts w:ascii="Arial" w:hAnsi="Arial"/>
          <w:color w:val="1E1E1E"/>
          <w:sz w:val="21"/>
        </w:rPr>
        <w:t xml:space="preserve">To align Indian trademark jurisprudence with international treaties—such as the </w:t>
      </w:r>
      <w:r>
        <w:rPr>
          <w:rFonts w:ascii="Arial" w:hAnsi="Arial"/>
          <w:b/>
          <w:color w:val="1E1E1E"/>
          <w:sz w:val="21"/>
        </w:rPr>
        <w:t>Trade-Related Aspects of Intellectual Property Rights (TRIPS) Agreement</w:t>
      </w:r>
      <w:r>
        <w:rPr>
          <w:rFonts w:ascii="Arial" w:hAnsi="Arial"/>
          <w:color w:val="1E1E1E"/>
          <w:sz w:val="21"/>
        </w:rPr>
        <w:t xml:space="preserve">—Parliament enacted the Trade Marks Act, 1999, which came into force on </w:t>
      </w:r>
      <w:r>
        <w:rPr>
          <w:rFonts w:ascii="Arial" w:hAnsi="Arial"/>
          <w:b/>
          <w:color w:val="1E1E1E"/>
          <w:sz w:val="21"/>
        </w:rPr>
        <w:t>September 15, 2003</w:t>
      </w: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What is a Trademark?</w:t>
      </w:r>
    </w:p>
    <w:p>
      <w:pPr>
        <w:spacing w:before="40" w:after="120" w:line="276" w:lineRule="auto"/>
        <w:ind w:left="0" w:right="0" w:firstLine="0"/>
        <w:jc w:val="left"/>
      </w:pPr>
      <w:r>
        <w:rPr>
          <w:rFonts w:ascii="Arial" w:hAnsi="Arial"/>
          <w:color w:val="1E1E1E"/>
          <w:sz w:val="21"/>
        </w:rPr>
        <w:t xml:space="preserve">Under </w:t>
      </w:r>
      <w:r>
        <w:rPr>
          <w:rFonts w:ascii="Arial" w:hAnsi="Arial"/>
          <w:b/>
          <w:color w:val="1E1E1E"/>
          <w:sz w:val="21"/>
        </w:rPr>
        <w:t>Section 2(1)(zb)</w:t>
      </w:r>
      <w:r>
        <w:rPr>
          <w:rFonts w:ascii="Arial" w:hAnsi="Arial"/>
          <w:color w:val="1E1E1E"/>
          <w:sz w:val="21"/>
        </w:rPr>
        <w:t xml:space="preserve"> of the Act, a trademark is defined as a </w:t>
      </w:r>
      <w:r>
        <w:rPr>
          <w:rFonts w:ascii="Arial" w:hAnsi="Arial"/>
          <w:b/>
          <w:color w:val="1E1E1E"/>
          <w:sz w:val="21"/>
        </w:rPr>
        <w:t>mark capable of being represented graphically and which is capable of distinguishing the goods or services of one person from those of others</w:t>
      </w:r>
      <w:r>
        <w:rPr>
          <w:rFonts w:ascii="Arial" w:hAnsi="Arial"/>
          <w:color w:val="1E1E1E"/>
          <w:sz w:val="21"/>
        </w:rPr>
        <w:t>.</w:t>
      </w:r>
    </w:p>
    <w:p>
      <w:pPr>
        <w:spacing w:before="40" w:after="120" w:line="276" w:lineRule="auto"/>
        <w:ind w:left="0" w:right="0" w:firstLine="0"/>
        <w:jc w:val="left"/>
      </w:pPr>
      <w:r>
        <w:rPr>
          <w:rFonts w:ascii="Arial" w:hAnsi="Arial"/>
          <w:color w:val="1E1E1E"/>
          <w:sz w:val="21"/>
        </w:rPr>
        <w:t>It may include a word, phrase, symbol, design, shape of goods, packaging, or combination of colors. Its primary commercial function is to act as an indicator of source or origin, protecting consumers from confusion and safeguarding businesses against unfair competition and brand dilution.</w:t>
      </w:r>
    </w:p>
    <w:p>
      <w:pPr>
        <w:keepNext/>
        <w:spacing w:before="220" w:after="100" w:line="276" w:lineRule="auto"/>
        <w:ind w:left="0" w:right="0" w:firstLine="0"/>
        <w:jc w:val="left"/>
      </w:pPr>
      <w:r>
        <w:rPr>
          <w:rFonts w:ascii="Arial" w:hAnsi="Arial"/>
          <w:b/>
          <w:color w:val="111827"/>
          <w:sz w:val="25"/>
        </w:rPr>
        <w:t>Core Objectives of the Trade Marks Act, 1999</w:t>
      </w:r>
    </w:p>
    <w:p>
      <w:pPr>
        <w:spacing w:before="40" w:after="120" w:line="276" w:lineRule="auto"/>
        <w:ind w:left="0" w:right="0" w:firstLine="0"/>
        <w:jc w:val="left"/>
      </w:pPr>
      <w:r>
        <w:rPr>
          <w:rFonts w:ascii="Arial" w:hAnsi="Arial"/>
          <w:color w:val="1E1E1E"/>
          <w:sz w:val="21"/>
        </w:rPr>
        <w:t>The Trade Marks Act, 1999 was enacted with several comprehensive socio-economic and legal objectives. These objectives can be categorized into consumer protection, commercial fairness, regulatory modernization, and international harmonization.</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CORE OBJECTIVES OF THE ACT</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Protection of Consumer Interests (Preventing Deception)</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Protection of Traders' Goodwill and Business Investments</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Expansion of Coverage to Services and Modern Marks</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Simplification and Streamlining of Registration Procedures</w:t>
      </w:r>
    </w:p>
    <w:p>
      <w:pPr>
        <w:spacing w:before="40" w:after="100" w:line="276" w:lineRule="auto"/>
        <w:ind w:left="461" w:right="0" w:hanging="317"/>
        <w:jc w:val="left"/>
      </w:pPr>
      <w:r>
        <w:rPr>
          <w:rFonts w:ascii="Arial" w:hAnsi="Arial"/>
          <w:b/>
          <w:sz w:val="21"/>
        </w:rPr>
        <w:t xml:space="preserve">5. </w:t>
      </w:r>
      <w:r>
        <w:rPr>
          <w:rFonts w:ascii="Arial" w:hAnsi="Arial"/>
          <w:color w:val="1E1E1E"/>
          <w:sz w:val="21"/>
        </w:rPr>
        <w:t>Stringent Legal Deterrence Against Counterfeiting &amp; Infringement</w:t>
      </w:r>
    </w:p>
    <w:p>
      <w:pPr>
        <w:keepNext/>
        <w:spacing w:before="180" w:after="60" w:line="276" w:lineRule="auto"/>
        <w:ind w:left="0" w:right="0" w:firstLine="0"/>
        <w:jc w:val="left"/>
      </w:pPr>
      <w:r>
        <w:rPr>
          <w:rFonts w:ascii="Arial" w:hAnsi="Arial"/>
          <w:b/>
          <w:color w:val="111827"/>
          <w:sz w:val="22"/>
        </w:rPr>
        <w:t>6. Harmonization with International Standards &amp; TRIPS</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Protection of Consumer Interests (Preventing Deception)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Clarity:</w:t>
      </w:r>
      <w:r>
        <w:rPr>
          <w:rFonts w:ascii="Arial" w:hAnsi="Arial"/>
          <w:color w:val="1E1E1E"/>
          <w:sz w:val="21"/>
        </w:rPr>
        <w:t xml:space="preserve"> Consumers rely heavily on brand names, logos, and symbols as shorthand for quality, reliability, and corporate reputation.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Preventing Confusion:</w:t>
      </w:r>
      <w:r>
        <w:rPr>
          <w:rFonts w:ascii="Arial" w:hAnsi="Arial"/>
          <w:color w:val="1E1E1E"/>
          <w:sz w:val="21"/>
        </w:rPr>
        <w:t xml:space="preserve"> A primary objective of the Act is to prevent unscrupulous traders from using deceptively similar marks that confuse consumers into buying sub-standard or counterfeit goods under the mistaken belief that they belong to a trusted brand. By maintaining clear market identifiers, the Act protects consumers from economic exploitation and deception.</w:t>
      </w:r>
    </w:p>
    <w:p>
      <w:pPr>
        <w:keepNext/>
        <w:spacing w:before="220" w:after="100" w:line="276" w:lineRule="auto"/>
        <w:ind w:left="0" w:right="0" w:firstLine="0"/>
        <w:jc w:val="left"/>
      </w:pPr>
      <w:r>
        <w:rPr>
          <w:rFonts w:ascii="Arial" w:hAnsi="Arial"/>
          <w:b/>
          <w:color w:val="111827"/>
          <w:sz w:val="25"/>
        </w:rPr>
        <w:t>2. Protection of Traders' Goodwill and Business Investments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Rewarding Innovation:</w:t>
      </w:r>
      <w:r>
        <w:rPr>
          <w:rFonts w:ascii="Arial" w:hAnsi="Arial"/>
          <w:color w:val="1E1E1E"/>
          <w:sz w:val="21"/>
        </w:rPr>
        <w:t xml:space="preserve"> Building a strong brand requires immense financial investment, marketing effort, and adherence to quality standards.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Safeguarding Proprietary Rights:</w:t>
      </w:r>
      <w:r>
        <w:rPr>
          <w:rFonts w:ascii="Arial" w:hAnsi="Arial"/>
          <w:color w:val="1E1E1E"/>
          <w:sz w:val="21"/>
        </w:rPr>
        <w:t xml:space="preserve"> The Act aims to protect a business’s hard-earned reputation and goodwill. It ensures that a competitor cannot "free-ride" or piggyback on the established market reputation of another brand by using a confusingly similar mark, thereby preventing unfair trade practices.</w:t>
      </w:r>
    </w:p>
    <w:p>
      <w:pPr>
        <w:keepNext/>
        <w:spacing w:before="220" w:after="100" w:line="276" w:lineRule="auto"/>
        <w:ind w:left="0" w:right="0" w:firstLine="0"/>
        <w:jc w:val="left"/>
      </w:pPr>
      <w:r>
        <w:rPr>
          <w:rFonts w:ascii="Arial" w:hAnsi="Arial"/>
          <w:b/>
          <w:color w:val="111827"/>
          <w:sz w:val="25"/>
        </w:rPr>
        <w:t>3. Expansion of Coverage to Services and New Forms of Marks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Inclusion of Services (Service Marks):</w:t>
      </w:r>
      <w:r>
        <w:rPr>
          <w:rFonts w:ascii="Arial" w:hAnsi="Arial"/>
          <w:color w:val="1E1E1E"/>
          <w:sz w:val="21"/>
        </w:rPr>
        <w:t xml:space="preserve"> The old 1958 Act primarily focused on goods. A major objective of the 1999 Act was to extend statutory protection to </w:t>
      </w:r>
      <w:r>
        <w:rPr>
          <w:rFonts w:ascii="Arial" w:hAnsi="Arial"/>
          <w:b/>
          <w:color w:val="1E1E1E"/>
          <w:sz w:val="21"/>
        </w:rPr>
        <w:t>service marks</w:t>
      </w:r>
      <w:r>
        <w:rPr>
          <w:rFonts w:ascii="Arial" w:hAnsi="Arial"/>
          <w:color w:val="1E1E1E"/>
          <w:sz w:val="21"/>
        </w:rPr>
        <w:t xml:space="preserve"> (trademarks used in the service sector, such as in banking, hospitality, telecommunications, and 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Modern Trademark Forms:</w:t>
      </w:r>
      <w:r>
        <w:rPr>
          <w:rFonts w:ascii="Arial" w:hAnsi="Arial"/>
          <w:color w:val="1E1E1E"/>
          <w:sz w:val="21"/>
        </w:rPr>
        <w:t xml:space="preserve"> The Act modernized the definition of a "mark" to accommodate evolving commercial branding strategies, recognizing shapes of goods, packaging combinations, and color schemes, paving the way for contemporary trade dress protection.</w:t>
      </w:r>
    </w:p>
    <w:p>
      <w:pPr>
        <w:keepNext/>
        <w:spacing w:before="220" w:after="100" w:line="276" w:lineRule="auto"/>
        <w:ind w:left="0" w:right="0" w:firstLine="0"/>
        <w:jc w:val="left"/>
      </w:pPr>
      <w:r>
        <w:rPr>
          <w:rFonts w:ascii="Arial" w:hAnsi="Arial"/>
          <w:b/>
          <w:color w:val="111827"/>
          <w:sz w:val="25"/>
        </w:rPr>
        <w:t>4. Simplification and Streamlining of Registration Procedures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Efficiency:</w:t>
      </w:r>
      <w:r>
        <w:rPr>
          <w:rFonts w:ascii="Arial" w:hAnsi="Arial"/>
          <w:color w:val="1E1E1E"/>
          <w:sz w:val="21"/>
        </w:rPr>
        <w:t xml:space="preserve"> Under the older legislation, the trademark registration process was notoriously slow, bureaucratic, and cumbersome.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Procedural Reforms:</w:t>
      </w:r>
      <w:r>
        <w:rPr>
          <w:rFonts w:ascii="Arial" w:hAnsi="Arial"/>
          <w:color w:val="1E1E1E"/>
          <w:sz w:val="21"/>
        </w:rPr>
        <w:t xml:space="preserve"> The 1999 Act introduced measures to streamline registration, provide clearer timelines, establish an Appellate Board (IPAB—later restructured under subsequent legislative reforms), and allow for the </w:t>
      </w:r>
      <w:r>
        <w:rPr>
          <w:rFonts w:ascii="Arial" w:hAnsi="Arial"/>
          <w:b/>
          <w:color w:val="1E1E1E"/>
          <w:sz w:val="21"/>
        </w:rPr>
        <w:t>registration of multi-class applications</w:t>
      </w:r>
      <w:r>
        <w:rPr>
          <w:rFonts w:ascii="Arial" w:hAnsi="Arial"/>
          <w:color w:val="1E1E1E"/>
          <w:sz w:val="21"/>
        </w:rPr>
        <w:t>, making it significantly easier and faster for businesses to secure their intellectual property.</w:t>
      </w:r>
    </w:p>
    <w:p>
      <w:pPr>
        <w:keepNext/>
        <w:spacing w:before="220" w:after="100" w:line="276" w:lineRule="auto"/>
        <w:ind w:left="0" w:right="0" w:firstLine="0"/>
        <w:jc w:val="left"/>
      </w:pPr>
      <w:r>
        <w:rPr>
          <w:rFonts w:ascii="Arial" w:hAnsi="Arial"/>
          <w:b/>
          <w:color w:val="111827"/>
          <w:sz w:val="25"/>
        </w:rPr>
        <w:t>5. Enhanced Legal Deterrence Against Infringement and Counterfeiting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Robust Remedies:</w:t>
      </w:r>
      <w:r>
        <w:rPr>
          <w:rFonts w:ascii="Arial" w:hAnsi="Arial"/>
          <w:color w:val="1E1E1E"/>
          <w:sz w:val="21"/>
        </w:rPr>
        <w:t xml:space="preserve"> The Act provides powerful civil and criminal remedies against trademark infringement (using a registered mark without authorization) and passing off (misrepresenting goods as those of another).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Punitive Measures:</w:t>
      </w:r>
      <w:r>
        <w:rPr>
          <w:rFonts w:ascii="Arial" w:hAnsi="Arial"/>
          <w:color w:val="1E1E1E"/>
          <w:sz w:val="21"/>
        </w:rPr>
        <w:t xml:space="preserve"> To combat the growing menace of commercial counterfeiting, the 1999 Act introduced </w:t>
      </w:r>
      <w:r>
        <w:rPr>
          <w:rFonts w:ascii="Arial" w:hAnsi="Arial"/>
          <w:b/>
          <w:color w:val="1E1E1E"/>
          <w:sz w:val="21"/>
        </w:rPr>
        <w:t>stiff criminal penalties</w:t>
      </w:r>
      <w:r>
        <w:rPr>
          <w:rFonts w:ascii="Arial" w:hAnsi="Arial"/>
          <w:color w:val="1E1E1E"/>
          <w:sz w:val="21"/>
        </w:rPr>
        <w:t>, including enhanced fines and imprisonment terms, alongside powers for police authorities to conduct search and seizure operations without warrants in certain flagrant piracy cases.</w:t>
      </w:r>
    </w:p>
    <w:p>
      <w:pPr>
        <w:keepNext/>
        <w:spacing w:before="220" w:after="100" w:line="276" w:lineRule="auto"/>
        <w:ind w:left="0" w:right="0" w:firstLine="0"/>
        <w:jc w:val="left"/>
      </w:pPr>
      <w:r>
        <w:rPr>
          <w:rFonts w:ascii="Arial" w:hAnsi="Arial"/>
          <w:b/>
          <w:color w:val="111827"/>
          <w:sz w:val="25"/>
        </w:rPr>
        <w:t>6. Harmonization with International Standards and TRIPS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Global Trade Integration:</w:t>
      </w:r>
      <w:r>
        <w:rPr>
          <w:rFonts w:ascii="Arial" w:hAnsi="Arial"/>
          <w:color w:val="1E1E1E"/>
          <w:sz w:val="21"/>
        </w:rPr>
        <w:t xml:space="preserve"> In the wake of India joining the World Trade Organization (WTO), it became mandatory to comply with international intellectual property obligations under the </w:t>
      </w:r>
      <w:r>
        <w:rPr>
          <w:rFonts w:ascii="Arial" w:hAnsi="Arial"/>
          <w:b/>
          <w:color w:val="1E1E1E"/>
          <w:sz w:val="21"/>
        </w:rPr>
        <w:t>TRIPS Agreement</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Global Best Practices:</w:t>
      </w:r>
      <w:r>
        <w:rPr>
          <w:rFonts w:ascii="Arial" w:hAnsi="Arial"/>
          <w:color w:val="1E1E1E"/>
          <w:sz w:val="21"/>
        </w:rPr>
        <w:t xml:space="preserve"> The Act integrated global norms—such as recognizing </w:t>
      </w:r>
      <w:r>
        <w:rPr>
          <w:rFonts w:ascii="Arial" w:hAnsi="Arial"/>
          <w:b/>
          <w:color w:val="1E1E1E"/>
          <w:sz w:val="21"/>
        </w:rPr>
        <w:t>well-known trademarks</w:t>
      </w:r>
      <w:r>
        <w:rPr>
          <w:rFonts w:ascii="Arial" w:hAnsi="Arial"/>
          <w:color w:val="1E1E1E"/>
          <w:sz w:val="21"/>
        </w:rPr>
        <w:t xml:space="preserve"> across diverse product lines, setting uniform standards for licensing and assignment, and facilitating easier cross-border brand management.</w:t>
      </w:r>
    </w:p>
    <w:p>
      <w:pPr>
        <w:keepNext/>
        <w:spacing w:before="220" w:after="100" w:line="276" w:lineRule="auto"/>
        <w:ind w:left="0" w:right="0" w:firstLine="0"/>
        <w:jc w:val="left"/>
      </w:pPr>
      <w:r>
        <w:rPr>
          <w:rFonts w:ascii="Arial" w:hAnsi="Arial"/>
          <w:b/>
          <w:color w:val="111827"/>
          <w:sz w:val="25"/>
        </w:rPr>
        <w:t>Key Features and Mechanisms Implementing the Objectives</w:t>
      </w:r>
    </w:p>
    <w:p>
      <w:pPr>
        <w:spacing w:before="40" w:after="120" w:line="276" w:lineRule="auto"/>
        <w:ind w:left="0" w:right="0" w:firstLine="0"/>
        <w:jc w:val="left"/>
      </w:pPr>
      <w:r>
        <w:rPr>
          <w:rFonts w:ascii="Arial" w:hAnsi="Arial"/>
          <w:color w:val="1E1E1E"/>
          <w:sz w:val="21"/>
        </w:rPr>
        <w:t>To achieve these stated objectives, the Act incorporates several structural features: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Trademark Registry:</w:t>
      </w:r>
      <w:r>
        <w:rPr>
          <w:rFonts w:ascii="Arial" w:hAnsi="Arial"/>
          <w:color w:val="1E1E1E"/>
          <w:sz w:val="21"/>
        </w:rPr>
        <w:t xml:space="preserve"> Administered under the Controller General of Patents, Designs and Trademarks, maintaining the official Register of Trademarks.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Collective Marks and Certification Marks:</w:t>
      </w:r>
      <w:r>
        <w:rPr>
          <w:rFonts w:ascii="Arial" w:hAnsi="Arial"/>
          <w:color w:val="1E1E1E"/>
          <w:sz w:val="21"/>
        </w:rPr>
        <w:t xml:space="preserve"> Provisions allowing associations or certifying authorities to register marks that guarantee specific geographical origins, material standards, or manufacturing methods (e.g., Woolmark, ISI).</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Assignment and Transmission (Chapter V):</w:t>
      </w:r>
      <w:r>
        <w:rPr>
          <w:rFonts w:ascii="Arial" w:hAnsi="Arial"/>
          <w:color w:val="1E1E1E"/>
          <w:sz w:val="21"/>
        </w:rPr>
        <w:t xml:space="preserve"> Permitting brand owners to monetize their intellectual property through legal sales, licensing, or franchise agreements, subject to statutory safeguards against public deception.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Reliefs in Suits (Chapter XII):</w:t>
      </w:r>
      <w:r>
        <w:rPr>
          <w:rFonts w:ascii="Arial" w:hAnsi="Arial"/>
          <w:color w:val="1E1E1E"/>
          <w:sz w:val="21"/>
        </w:rPr>
        <w:t xml:space="preserve"> Empowering courts to grant swift temporary and permanent injunctions, damages, or accounts of profits to aggrieved brand owners.</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Trade Marks Act, 1999</w:t>
      </w:r>
      <w:r>
        <w:rPr>
          <w:rFonts w:ascii="Arial" w:hAnsi="Arial"/>
          <w:color w:val="1E1E1E"/>
          <w:sz w:val="21"/>
        </w:rPr>
        <w:t xml:space="preserve"> represents a vital pillar of India's commercial legal framework. By fulfilling its core objectives—protecting consumers from deceptive market practices, safeguarding business goodwill and investments, extending legal protection to the booming service sector, establishing rigorous deterrents against counterfeiting, and harmonizing domestic law with international standards—the legislation fosters an environment of trust, fair competition, and commercial innovation in the modern marketplace.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