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15</w:t>
      </w:r>
    </w:p>
    <w:p>
      <w:pPr>
        <w:spacing w:before="0" w:after="240" w:line="288" w:lineRule="auto"/>
        <w:ind w:left="0" w:right="0" w:firstLine="0"/>
        <w:jc w:val="left"/>
        <w:pBdr>
          <w:bottom w:val="single" w:sz="6" w:space="6" w:color="D0D5DD"/>
        </w:pBdr>
      </w:pPr>
      <w:r>
        <w:rPr>
          <w:rFonts w:ascii="Arial" w:hAnsi="Arial"/>
          <w:b/>
          <w:color w:val="111827"/>
          <w:sz w:val="23"/>
        </w:rPr>
        <w:t>Explain in detail about the Geographical Indication with illustrations.</w:t>
      </w:r>
    </w:p>
    <w:p>
      <w:pPr>
        <w:keepNext/>
        <w:spacing w:before="220" w:after="100" w:line="276" w:lineRule="auto"/>
        <w:ind w:left="0" w:right="0" w:firstLine="0"/>
        <w:jc w:val="left"/>
      </w:pPr>
      <w:r>
        <w:rPr>
          <w:rFonts w:ascii="Arial" w:hAnsi="Arial"/>
          <w:b/>
          <w:color w:val="111827"/>
          <w:sz w:val="25"/>
        </w:rPr>
        <w:t>Introduction and Legal Framework</w:t>
      </w:r>
    </w:p>
    <w:p>
      <w:pPr>
        <w:spacing w:before="40" w:after="120" w:line="276" w:lineRule="auto"/>
        <w:ind w:left="0" w:right="0" w:firstLine="0"/>
        <w:jc w:val="left"/>
      </w:pPr>
      <w:r>
        <w:rPr>
          <w:rFonts w:ascii="Arial" w:hAnsi="Arial"/>
          <w:color w:val="1E1E1E"/>
          <w:sz w:val="21"/>
        </w:rPr>
        <w:t xml:space="preserve">A </w:t>
      </w:r>
      <w:r>
        <w:rPr>
          <w:rFonts w:ascii="Arial" w:hAnsi="Arial"/>
          <w:b/>
          <w:color w:val="1E1E1E"/>
          <w:sz w:val="21"/>
        </w:rPr>
        <w:t>Geographical Indication (GI)</w:t>
      </w:r>
      <w:r>
        <w:rPr>
          <w:rFonts w:ascii="Arial" w:hAnsi="Arial"/>
          <w:color w:val="1E1E1E"/>
          <w:sz w:val="21"/>
        </w:rPr>
        <w:t xml:space="preserve"> is a specialized form of intellectual property right that identifies a product as originating from a specific geographical territory, where a given quality, reputation, or other characteristic of the product is essentially attributable to its geographical origin.</w:t>
      </w:r>
    </w:p>
    <w:p>
      <w:pPr>
        <w:spacing w:before="40" w:after="120" w:line="276" w:lineRule="auto"/>
        <w:ind w:left="0" w:right="0" w:firstLine="0"/>
        <w:jc w:val="left"/>
      </w:pPr>
      <w:r>
        <w:rPr>
          <w:rFonts w:ascii="Arial" w:hAnsi="Arial"/>
          <w:color w:val="1E1E1E"/>
          <w:sz w:val="21"/>
        </w:rPr>
        <w:t xml:space="preserve">Unlike conventional trademarks—which distinguish the goods or services of one specific commercial enterprise from those of another—a Geographical Indication is a </w:t>
      </w:r>
      <w:r>
        <w:rPr>
          <w:rFonts w:ascii="Arial" w:hAnsi="Arial"/>
          <w:b/>
          <w:color w:val="1E1E1E"/>
          <w:sz w:val="21"/>
        </w:rPr>
        <w:t>collective, community-owned right</w:t>
      </w:r>
      <w:r>
        <w:rPr>
          <w:rFonts w:ascii="Arial" w:hAnsi="Arial"/>
          <w:color w:val="1E1E1E"/>
          <w:sz w:val="21"/>
        </w:rPr>
        <w:t>. It acts as a badge of authenticity, certifying that a product possesses unique qualities derived from the natural environment (climate, soil, water minerals) or human factors (indigenous craftsmanship, traditional knowledge, local production techniques) of a particular region.</w:t>
      </w:r>
    </w:p>
    <w:p>
      <w:pPr>
        <w:spacing w:before="40" w:after="120" w:line="276" w:lineRule="auto"/>
        <w:ind w:left="0" w:right="0" w:firstLine="0"/>
        <w:jc w:val="left"/>
      </w:pPr>
      <w:r>
        <w:rPr>
          <w:rFonts w:ascii="Arial" w:hAnsi="Arial"/>
          <w:color w:val="1E1E1E"/>
          <w:sz w:val="21"/>
        </w:rPr>
        <w:t xml:space="preserve">In India, the legal framework governing GIs is established by </w:t>
      </w:r>
      <w:r>
        <w:rPr>
          <w:rFonts w:ascii="Arial" w:hAnsi="Arial"/>
          <w:b/>
          <w:color w:val="1E1E1E"/>
          <w:sz w:val="21"/>
        </w:rPr>
        <w:t>The Geographical Indications of Goods (Registration and Protection) Act, 1999</w:t>
      </w:r>
      <w:r>
        <w:rPr>
          <w:rFonts w:ascii="Arial" w:hAnsi="Arial"/>
          <w:color w:val="1E1E1E"/>
          <w:sz w:val="21"/>
        </w:rPr>
        <w:t xml:space="preserve">, which came into force in September 2003, alongside the Geographical Indications of Goods (Registration and Protection) Rules, 2002. This legislation was enacted to comply with India's obligations under the World Trade Organization’s (WTO) </w:t>
      </w:r>
      <w:r>
        <w:rPr>
          <w:rFonts w:ascii="Arial" w:hAnsi="Arial"/>
          <w:b/>
          <w:color w:val="1E1E1E"/>
          <w:sz w:val="21"/>
        </w:rPr>
        <w:t>Trade-Related Aspects of Intellectual Property Rights (TRIPS) Agreement</w:t>
      </w:r>
      <w:r>
        <w:rPr>
          <w:rFonts w:ascii="Arial" w:hAnsi="Arial"/>
          <w:color w:val="1E1E1E"/>
          <w:sz w:val="21"/>
        </w:rPr>
        <w:t>.</w:t>
      </w:r>
    </w:p>
    <w:p>
      <w:pPr>
        <w:keepNext/>
        <w:spacing w:before="220" w:after="100" w:line="276" w:lineRule="auto"/>
        <w:ind w:left="0" w:right="0" w:firstLine="0"/>
        <w:jc w:val="left"/>
      </w:pPr>
      <w:r>
        <w:rPr>
          <w:rFonts w:ascii="Arial" w:hAnsi="Arial"/>
          <w:b/>
          <w:color w:val="111827"/>
          <w:sz w:val="25"/>
        </w:rPr>
        <w:t>Salient Features and Objectives of Geographical Indications</w:t>
      </w:r>
    </w:p>
    <w:p>
      <w:pPr>
        <w:spacing w:before="40" w:after="120" w:line="276" w:lineRule="auto"/>
        <w:ind w:left="0" w:right="0" w:firstLine="0"/>
        <w:jc w:val="left"/>
      </w:pPr>
      <w:r>
        <w:rPr>
          <w:rFonts w:ascii="Arial" w:hAnsi="Arial"/>
          <w:color w:val="1E1E1E"/>
          <w:sz w:val="21"/>
        </w:rPr>
        <w:t>To understand the legal mechanics of a GI, one must examine its core statutory features and objectives:</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tbl>
      <w:tblPr>
        <w:tblW w:type="auto" w:w="0"/>
        <w:jc w:val="center"/>
        <w:tblLayout w:type="fixed"/>
        <w:tblLook w:firstColumn="1" w:firstRow="1" w:lastColumn="0" w:lastRow="0" w:noHBand="0" w:noVBand="1" w:val="04A0"/>
      </w:tblPr>
      <w:tblGrid>
        <w:gridCol w:w="9648"/>
      </w:tblGrid>
      <w:tr>
        <w:trPr>
          <w:cantSplit/>
          <w:tblHeader/>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CORE ATTRIBUTES OF A GI</w:t>
            </w:r>
          </w:p>
        </w:tc>
      </w:tr>
    </w:tbl>
    <w:p>
      <w:pPr>
        <w:spacing w:before="0" w:after="80" w:line="276" w:lineRule="auto"/>
        <w:ind w:left="0" w:right="0" w:firstLine="0"/>
        <w:jc w:val="left"/>
      </w:pPr>
    </w:p>
    <w:p>
      <w:pPr>
        <w:spacing w:before="40" w:after="120" w:line="276" w:lineRule="auto"/>
        <w:ind w:left="0" w:right="0" w:firstLine="0"/>
        <w:jc w:val="left"/>
      </w:pPr>
      <w:r>
        <w:rPr>
          <w:rFonts w:ascii="Arial" w:hAnsi="Arial"/>
          <w:color w:val="1E1E1E"/>
          <w:sz w:val="21"/>
        </w:rPr>
        <w:t>+-------------------------------------------------------------+</w:t>
      </w:r>
    </w:p>
    <w:p>
      <w:pPr>
        <w:spacing w:before="40" w:after="100" w:line="276" w:lineRule="auto"/>
        <w:ind w:left="461" w:right="0" w:hanging="317"/>
        <w:jc w:val="left"/>
      </w:pPr>
      <w:r>
        <w:rPr>
          <w:rFonts w:ascii="Arial" w:hAnsi="Arial"/>
          <w:b/>
          <w:sz w:val="21"/>
        </w:rPr>
        <w:t xml:space="preserve">1. </w:t>
      </w:r>
      <w:r>
        <w:rPr>
          <w:rFonts w:ascii="Arial" w:hAnsi="Arial"/>
          <w:color w:val="1E1E1E"/>
          <w:sz w:val="21"/>
        </w:rPr>
        <w:t>Territorial Link (Terroir / Human Skill)                 |</w:t>
      </w:r>
    </w:p>
    <w:p>
      <w:pPr>
        <w:spacing w:before="40" w:after="100" w:line="276" w:lineRule="auto"/>
        <w:ind w:left="461" w:right="0" w:hanging="317"/>
        <w:jc w:val="left"/>
      </w:pPr>
      <w:r>
        <w:rPr>
          <w:rFonts w:ascii="Arial" w:hAnsi="Arial"/>
          <w:b/>
          <w:sz w:val="21"/>
        </w:rPr>
        <w:t xml:space="preserve">2. </w:t>
      </w:r>
      <w:r>
        <w:rPr>
          <w:rFonts w:ascii="Arial" w:hAnsi="Arial"/>
          <w:color w:val="1E1E1E"/>
          <w:sz w:val="21"/>
        </w:rPr>
        <w:t>Collective Ownership (Not Owned by a Single Entity)      |</w:t>
      </w:r>
    </w:p>
    <w:p>
      <w:pPr>
        <w:spacing w:before="40" w:after="100" w:line="276" w:lineRule="auto"/>
        <w:ind w:left="461" w:right="0" w:hanging="317"/>
        <w:jc w:val="left"/>
      </w:pPr>
      <w:r>
        <w:rPr>
          <w:rFonts w:ascii="Arial" w:hAnsi="Arial"/>
          <w:b/>
          <w:sz w:val="21"/>
        </w:rPr>
        <w:t xml:space="preserve">3. </w:t>
      </w:r>
      <w:r>
        <w:rPr>
          <w:rFonts w:ascii="Arial" w:hAnsi="Arial"/>
          <w:color w:val="1E1E1E"/>
          <w:sz w:val="21"/>
        </w:rPr>
        <w:t>Prevention of Misuse and "Free-Riding"                   |</w:t>
      </w:r>
    </w:p>
    <w:p>
      <w:pPr>
        <w:spacing w:before="40" w:after="100" w:line="276" w:lineRule="auto"/>
        <w:ind w:left="461" w:right="0" w:hanging="317"/>
        <w:jc w:val="left"/>
      </w:pPr>
      <w:r>
        <w:rPr>
          <w:rFonts w:ascii="Arial" w:hAnsi="Arial"/>
          <w:b/>
          <w:sz w:val="21"/>
        </w:rPr>
        <w:t xml:space="preserve">4. </w:t>
      </w:r>
      <w:r>
        <w:rPr>
          <w:rFonts w:ascii="Arial" w:hAnsi="Arial"/>
          <w:color w:val="1E1E1E"/>
          <w:sz w:val="21"/>
        </w:rPr>
        <w:t>Consumer Protection Against Geographical Deception       |</w:t>
      </w:r>
    </w:p>
    <w:p>
      <w:pPr>
        <w:keepNext/>
        <w:spacing w:before="180" w:after="60" w:line="276" w:lineRule="auto"/>
        <w:ind w:left="0" w:right="0" w:firstLine="0"/>
        <w:jc w:val="left"/>
      </w:pPr>
      <w:r>
        <w:rPr>
          <w:rFonts w:ascii="Arial" w:hAnsi="Arial"/>
          <w:b/>
          <w:color w:val="111827"/>
          <w:sz w:val="22"/>
        </w:rPr>
        <w:t>5. Preservation of Heritage and Traditional Craftsmanship   |</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p>
      <w:pPr>
        <w:keepNext/>
        <w:spacing w:before="220" w:after="100" w:line="276" w:lineRule="auto"/>
        <w:ind w:left="0" w:right="0" w:firstLine="0"/>
        <w:jc w:val="left"/>
      </w:pPr>
      <w:r>
        <w:rPr>
          <w:rFonts w:ascii="Arial" w:hAnsi="Arial"/>
          <w:b/>
          <w:color w:val="111827"/>
          <w:sz w:val="25"/>
        </w:rPr>
        <w:t>1. The Territorial Nexus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For a product to qualify for a GI, there must be a clear, provable link between the product's special characteristics and its place of origin. This is often referred to in agricultural and viticultural contexts as </w:t>
      </w:r>
      <w:r>
        <w:rPr>
          <w:rFonts w:ascii="Arial" w:hAnsi="Arial"/>
          <w:b/>
          <w:color w:val="1E1E1E"/>
          <w:sz w:val="21"/>
        </w:rPr>
        <w:t>terroir</w:t>
      </w:r>
      <w:r>
        <w:rPr>
          <w:rFonts w:ascii="Arial" w:hAnsi="Arial"/>
          <w:color w:val="1E1E1E"/>
          <w:sz w:val="21"/>
        </w:rPr>
        <w:t xml:space="preserve"> (the complete natural environment in which a particular product is made, including factors such as soil, topography, and climate).</w:t>
      </w:r>
    </w:p>
    <w:p>
      <w:pPr>
        <w:keepNext/>
        <w:spacing w:before="220" w:after="100" w:line="276" w:lineRule="auto"/>
        <w:ind w:left="0" w:right="0" w:firstLine="0"/>
        <w:jc w:val="left"/>
      </w:pPr>
      <w:r>
        <w:rPr>
          <w:rFonts w:ascii="Arial" w:hAnsi="Arial"/>
          <w:b/>
          <w:color w:val="111827"/>
          <w:sz w:val="25"/>
        </w:rPr>
        <w:t>2. Collective Ownership</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 GI is never owned by a single commercial corporation or individual producer. Instead, it is registered in the name of an association of persons, producers, organization, or authority established by law. Any qualified producer operating within the designated geographical boundary and adhering to prescribed quality standards has the legal right to use the GI.</w:t>
      </w:r>
    </w:p>
    <w:p>
      <w:pPr>
        <w:keepNext/>
        <w:spacing w:before="220" w:after="100" w:line="276" w:lineRule="auto"/>
        <w:ind w:left="0" w:right="0" w:firstLine="0"/>
        <w:jc w:val="left"/>
      </w:pPr>
      <w:r>
        <w:rPr>
          <w:rFonts w:ascii="Arial" w:hAnsi="Arial"/>
          <w:b/>
          <w:color w:val="111827"/>
          <w:sz w:val="25"/>
        </w:rPr>
        <w:t>3. Prevention of Misuse and Counterfeiting</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 GI prohibits unauthorized third parties from using the geographical name on goods that do not originate from that designated region, or products that mimic traditional standards without adhering to the authentic production process.</w:t>
      </w:r>
    </w:p>
    <w:p>
      <w:pPr>
        <w:keepNext/>
        <w:spacing w:before="220" w:after="100" w:line="276" w:lineRule="auto"/>
        <w:ind w:left="0" w:right="0" w:firstLine="0"/>
        <w:jc w:val="left"/>
      </w:pPr>
      <w:r>
        <w:rPr>
          <w:rFonts w:ascii="Arial" w:hAnsi="Arial"/>
          <w:b/>
          <w:color w:val="111827"/>
          <w:sz w:val="25"/>
        </w:rPr>
        <w:t>4. Preservation of Cultural Heritage</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GI registration provides economic incentives and legal protection to rural artisans, weavers, farmers, and indigenous communities, preventing traditional skills and ancient geographical heritage from being misappropriated or commercially diluted.</w:t>
      </w:r>
    </w:p>
    <w:p>
      <w:pPr>
        <w:keepNext/>
        <w:spacing w:before="220" w:after="100" w:line="276" w:lineRule="auto"/>
        <w:ind w:left="0" w:right="0" w:firstLine="0"/>
        <w:jc w:val="left"/>
      </w:pPr>
      <w:r>
        <w:rPr>
          <w:rFonts w:ascii="Arial" w:hAnsi="Arial"/>
          <w:b/>
          <w:color w:val="111827"/>
          <w:sz w:val="25"/>
        </w:rPr>
        <w:t>Categories of Goods Protected Under GI Law</w:t>
      </w:r>
    </w:p>
    <w:p>
      <w:pPr>
        <w:spacing w:before="40" w:after="120" w:line="276" w:lineRule="auto"/>
        <w:ind w:left="0" w:right="0" w:firstLine="0"/>
        <w:jc w:val="left"/>
      </w:pPr>
      <w:r>
        <w:rPr>
          <w:rFonts w:ascii="Arial" w:hAnsi="Arial"/>
          <w:color w:val="1E1E1E"/>
          <w:sz w:val="21"/>
        </w:rPr>
        <w:t>Under Section 2(1)(e) of the Geographical Indications Act, 1999, GIs can be registered across five distinct economic categories:</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Agricultural Goods</w:t>
      </w:r>
      <w:r>
        <w:rPr>
          <w:rFonts w:ascii="Arial" w:hAnsi="Arial"/>
          <w:color w:val="1E1E1E"/>
          <w:sz w:val="21"/>
        </w:rPr>
        <w:t xml:space="preserve"> (e.g., spices, rice, fruits, tea, coffee)</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Natural Goods</w:t>
      </w:r>
      <w:r>
        <w:rPr>
          <w:rFonts w:ascii="Arial" w:hAnsi="Arial"/>
          <w:color w:val="1E1E1E"/>
          <w:sz w:val="21"/>
        </w:rPr>
        <w:t xml:space="preserve"> (e.g., stones, minerals)</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Handicrafts</w:t>
      </w:r>
      <w:r>
        <w:rPr>
          <w:rFonts w:ascii="Arial" w:hAnsi="Arial"/>
          <w:color w:val="1E1E1E"/>
          <w:sz w:val="21"/>
        </w:rPr>
        <w:t xml:space="preserve"> (e.g., handloom textiles, pottery, woodwork, metal crafts)</w:t>
      </w:r>
    </w:p>
    <w:p>
      <w:pPr>
        <w:spacing w:before="40" w:after="100" w:line="276" w:lineRule="auto"/>
        <w:ind w:left="461" w:right="0" w:hanging="317"/>
        <w:jc w:val="left"/>
      </w:pPr>
      <w:r>
        <w:rPr>
          <w:rFonts w:ascii="Arial" w:hAnsi="Arial"/>
          <w:b/>
          <w:sz w:val="21"/>
        </w:rPr>
        <w:t xml:space="preserve">4. </w:t>
      </w:r>
      <w:r>
        <w:rPr>
          <w:rFonts w:ascii="Arial" w:hAnsi="Arial"/>
          <w:b/>
          <w:color w:val="1E1E1E"/>
          <w:sz w:val="21"/>
        </w:rPr>
        <w:t>Manufactured Goods</w:t>
      </w:r>
      <w:r>
        <w:rPr>
          <w:rFonts w:ascii="Arial" w:hAnsi="Arial"/>
          <w:color w:val="1E1E1E"/>
          <w:sz w:val="21"/>
        </w:rPr>
        <w:t xml:space="preserve"> (e.g., specialized tools, instruments)</w:t>
      </w:r>
    </w:p>
    <w:p>
      <w:pPr>
        <w:spacing w:before="40" w:after="100" w:line="276" w:lineRule="auto"/>
        <w:ind w:left="461" w:right="0" w:hanging="317"/>
        <w:jc w:val="left"/>
      </w:pPr>
      <w:r>
        <w:rPr>
          <w:rFonts w:ascii="Arial" w:hAnsi="Arial"/>
          <w:b/>
          <w:sz w:val="21"/>
        </w:rPr>
        <w:t xml:space="preserve">5. </w:t>
      </w:r>
      <w:r>
        <w:rPr>
          <w:rFonts w:ascii="Arial" w:hAnsi="Arial"/>
          <w:b/>
          <w:color w:val="1E1E1E"/>
          <w:sz w:val="21"/>
        </w:rPr>
        <w:t>Foodstuffs</w:t>
      </w:r>
      <w:r>
        <w:rPr>
          <w:rFonts w:ascii="Arial" w:hAnsi="Arial"/>
          <w:color w:val="1E1E1E"/>
          <w:sz w:val="21"/>
        </w:rPr>
        <w:t xml:space="preserve"> (e.g., traditional sweets, local culinary preparations)</w:t>
      </w:r>
    </w:p>
    <w:p>
      <w:pPr>
        <w:keepNext/>
        <w:spacing w:before="220" w:after="100" w:line="276" w:lineRule="auto"/>
        <w:ind w:left="0" w:right="0" w:firstLine="0"/>
        <w:jc w:val="left"/>
      </w:pPr>
      <w:r>
        <w:rPr>
          <w:rFonts w:ascii="Arial" w:hAnsi="Arial"/>
          <w:b/>
          <w:color w:val="111827"/>
          <w:sz w:val="25"/>
        </w:rPr>
        <w:t>Detailed Illustrations of Famous Geographical Indications</w:t>
      </w:r>
    </w:p>
    <w:p>
      <w:pPr>
        <w:spacing w:before="40" w:after="120" w:line="276" w:lineRule="auto"/>
        <w:ind w:left="0" w:right="0" w:firstLine="0"/>
        <w:jc w:val="left"/>
      </w:pPr>
      <w:r>
        <w:rPr>
          <w:rFonts w:ascii="Arial" w:hAnsi="Arial"/>
          <w:color w:val="1E1E1E"/>
          <w:sz w:val="21"/>
        </w:rPr>
        <w:t>To appreciate how GIs operate in practice, we can examine prominent domestic and international illustrations categorized by their sectors.</w:t>
      </w:r>
    </w:p>
    <w:p>
      <w:pPr>
        <w:keepNext/>
        <w:spacing w:before="220" w:after="100" w:line="276" w:lineRule="auto"/>
        <w:ind w:left="0" w:right="0" w:firstLine="0"/>
        <w:jc w:val="left"/>
      </w:pPr>
      <w:r>
        <w:rPr>
          <w:rFonts w:ascii="Arial" w:hAnsi="Arial"/>
          <w:b/>
          <w:color w:val="111827"/>
          <w:sz w:val="25"/>
        </w:rPr>
        <w:t>Illustration 1: Darjeeling Tea (Agricultural / Plantation Goods)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Region of Origin:</w:t>
      </w:r>
      <w:r>
        <w:rPr>
          <w:rFonts w:ascii="Arial" w:hAnsi="Arial"/>
          <w:color w:val="1E1E1E"/>
          <w:sz w:val="21"/>
        </w:rPr>
        <w:t xml:space="preserve"> Darjeeling District, West Bengal, India.</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Why it Qualifies:</w:t>
      </w:r>
      <w:r>
        <w:rPr>
          <w:rFonts w:ascii="Arial" w:hAnsi="Arial"/>
          <w:color w:val="1E1E1E"/>
          <w:sz w:val="21"/>
        </w:rPr>
        <w:t xml:space="preserve"> Darjeeling Tea was the </w:t>
      </w:r>
      <w:r>
        <w:rPr>
          <w:rFonts w:ascii="Arial" w:hAnsi="Arial"/>
          <w:b/>
          <w:color w:val="1E1E1E"/>
          <w:sz w:val="21"/>
        </w:rPr>
        <w:t>very first product in India to receive a GI tag</w:t>
      </w:r>
      <w:r>
        <w:rPr>
          <w:rFonts w:ascii="Arial" w:hAnsi="Arial"/>
          <w:color w:val="1E1E1E"/>
          <w:sz w:val="21"/>
        </w:rPr>
        <w:t xml:space="preserve"> in 2004. The tea leaves harvested in the steep, mist-shrouded slopes of the Himalayan district possess a distinct, highly prized muscatel flavor and floral aroma.</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The Terroir &amp; Human Factor:</w:t>
      </w:r>
      <w:r>
        <w:rPr>
          <w:rFonts w:ascii="Arial" w:hAnsi="Arial"/>
          <w:color w:val="1E1E1E"/>
          <w:sz w:val="21"/>
        </w:rPr>
        <w:t xml:space="preserve"> This unique flavor profile cannot be replicated anywhere else on earth; it is a direct result of the unique combination of high altitude, low temperatures, heavy rainfall, acidic soil composition, and generations of specialized plucking and processing techniques practiced by local tea artisans.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Legal Protection:</w:t>
      </w:r>
      <w:r>
        <w:rPr>
          <w:rFonts w:ascii="Arial" w:hAnsi="Arial"/>
          <w:color w:val="1E1E1E"/>
          <w:sz w:val="21"/>
        </w:rPr>
        <w:t xml:space="preserve"> Without GI protection, tea blenders worldwide could market ordinary, low-grade tea under the prestigious name "Darjeeling," exploiting consumer trust and ruining the livelihood of authentic planters.</w:t>
      </w:r>
    </w:p>
    <w:p>
      <w:pPr>
        <w:keepNext/>
        <w:spacing w:before="220" w:after="100" w:line="276" w:lineRule="auto"/>
        <w:ind w:left="0" w:right="0" w:firstLine="0"/>
        <w:jc w:val="left"/>
      </w:pPr>
      <w:r>
        <w:rPr>
          <w:rFonts w:ascii="Arial" w:hAnsi="Arial"/>
          <w:b/>
          <w:color w:val="111827"/>
          <w:sz w:val="25"/>
        </w:rPr>
        <w:t>Illustration 2: Kanchipuram Silk Saree (Handicrafts / Textile Goods)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Region of Origin:</w:t>
      </w:r>
      <w:r>
        <w:rPr>
          <w:rFonts w:ascii="Arial" w:hAnsi="Arial"/>
          <w:color w:val="1E1E1E"/>
          <w:sz w:val="21"/>
        </w:rPr>
        <w:t xml:space="preserve"> Kanchipuram town, Tamil Nadu, India.</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Why it Qualifies:</w:t>
      </w:r>
      <w:r>
        <w:rPr>
          <w:rFonts w:ascii="Arial" w:hAnsi="Arial"/>
          <w:color w:val="1E1E1E"/>
          <w:sz w:val="21"/>
        </w:rPr>
        <w:t xml:space="preserve"> Kanchipuram sarees are globally renowned for their unmatched durability, heavy silk fabric, and intricate zari work (pure silver threads dipped in gold).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The Terroir &amp; Human Factor:</w:t>
      </w:r>
      <w:r>
        <w:rPr>
          <w:rFonts w:ascii="Arial" w:hAnsi="Arial"/>
          <w:color w:val="1E1E1E"/>
          <w:sz w:val="21"/>
        </w:rPr>
        <w:t xml:space="preserve"> The authenticity of a Kanchipuram saree relies entirely on the traditional handloom weaving techniques passed down through generations of local weaver families. The warp and the core body are woven separately and then interconnected securely.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Legal Protection:</w:t>
      </w:r>
      <w:r>
        <w:rPr>
          <w:rFonts w:ascii="Arial" w:hAnsi="Arial"/>
          <w:color w:val="1E1E1E"/>
          <w:sz w:val="21"/>
        </w:rPr>
        <w:t xml:space="preserve"> Powerloom factories in other regions attempting to mass-produce cheap synthetic imitations and label them as "Kanchipuram Silk" constitute actionable GI infringement. The GI tag legally ensures that only sarees handwoven in Kanchipuram using pure mulberry silk and genuine zari can bear the name.</w:t>
      </w:r>
    </w:p>
    <w:p>
      <w:pPr>
        <w:keepNext/>
        <w:spacing w:before="220" w:after="100" w:line="276" w:lineRule="auto"/>
        <w:ind w:left="0" w:right="0" w:firstLine="0"/>
        <w:jc w:val="left"/>
      </w:pPr>
      <w:r>
        <w:rPr>
          <w:rFonts w:ascii="Arial" w:hAnsi="Arial"/>
          <w:b/>
          <w:color w:val="111827"/>
          <w:sz w:val="25"/>
        </w:rPr>
        <w:t>Illustration 3: Champagne (International Illustration - Wine / Foodstuffs)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Region of Origin:</w:t>
      </w:r>
      <w:r>
        <w:rPr>
          <w:rFonts w:ascii="Arial" w:hAnsi="Arial"/>
          <w:color w:val="1E1E1E"/>
          <w:sz w:val="21"/>
        </w:rPr>
        <w:t xml:space="preserve"> The Champagne wine region of France.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Why it Qualifies:</w:t>
      </w:r>
      <w:r>
        <w:rPr>
          <w:rFonts w:ascii="Arial" w:hAnsi="Arial"/>
          <w:color w:val="1E1E1E"/>
          <w:sz w:val="21"/>
        </w:rPr>
        <w:t xml:space="preserve"> Internationally, Champagne is one of the most famous protected designations of origin (PDO/GI). True Champagne can *only* be produced from grapes grown, harvested, and fermented within the legally demarcated Champagne appellation in France, following strict traditional secondary fermentation methods (*Méthode Champenoise*).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Legal Protection:</w:t>
      </w:r>
      <w:r>
        <w:rPr>
          <w:rFonts w:ascii="Arial" w:hAnsi="Arial"/>
          <w:color w:val="1E1E1E"/>
          <w:sz w:val="21"/>
        </w:rPr>
        <w:t xml:space="preserve"> Under international trade agreements (like the TRIPS Agreement and bilateral treaties), sparkling wines produced in California, Australia, or South Africa cannot legally be labeled or sold as "Champagne" in protected jurisdictions, even if they use identical grape varieties or winemaking techniques.</w:t>
      </w:r>
    </w:p>
    <w:p>
      <w:pPr>
        <w:keepNext/>
        <w:spacing w:before="220" w:after="100" w:line="276" w:lineRule="auto"/>
        <w:ind w:left="0" w:right="0" w:firstLine="0"/>
        <w:jc w:val="left"/>
      </w:pPr>
      <w:r>
        <w:rPr>
          <w:rFonts w:ascii="Arial" w:hAnsi="Arial"/>
          <w:b/>
          <w:color w:val="111827"/>
          <w:sz w:val="25"/>
        </w:rPr>
        <w:t>Illustration 4: Alphonso Mango (Agricultural Goods)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Region of Origin:</w:t>
      </w:r>
      <w:r>
        <w:rPr>
          <w:rFonts w:ascii="Arial" w:hAnsi="Arial"/>
          <w:color w:val="1E1E1E"/>
          <w:sz w:val="21"/>
        </w:rPr>
        <w:t xml:space="preserve"> Ratnagiri, Sindhudurg, Palghar, Thane, and Raigad districts of Konkan region, Maharashtra, India.</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Why it Qualifies:</w:t>
      </w:r>
      <w:r>
        <w:rPr>
          <w:rFonts w:ascii="Arial" w:hAnsi="Arial"/>
          <w:color w:val="1E1E1E"/>
          <w:sz w:val="21"/>
        </w:rPr>
        <w:t xml:space="preserve"> Locally known as "Hapus," the Alphonso mango is celebrated globally for its rich, creamy texture, vibrant saffron-colored pulp, and distinct sweetness.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The Terroir &amp; Human Factor:</w:t>
      </w:r>
      <w:r>
        <w:rPr>
          <w:rFonts w:ascii="Arial" w:hAnsi="Arial"/>
          <w:color w:val="1E1E1E"/>
          <w:sz w:val="21"/>
        </w:rPr>
        <w:t xml:space="preserve"> The specific laterite soil composition of the Konkan coastal belt, combined with optimal sea breezes and climatic heat during the fruiting season, imparts characteristics that mangoes grown in other parts of the country lack. The GI tag safeguards Konkan farmers against vendors selling ordinary cross-bred mangoes under the lucrative "Alphonso" brand.</w:t>
      </w:r>
    </w:p>
    <w:p>
      <w:pPr>
        <w:keepNext/>
        <w:spacing w:before="220" w:after="100" w:line="276" w:lineRule="auto"/>
        <w:ind w:left="0" w:right="0" w:firstLine="0"/>
        <w:jc w:val="left"/>
      </w:pPr>
      <w:r>
        <w:rPr>
          <w:rFonts w:ascii="Arial" w:hAnsi="Arial"/>
          <w:b/>
          <w:color w:val="111827"/>
          <w:sz w:val="25"/>
        </w:rPr>
        <w:t>Rights Conferred by GI Registration</w:t>
      </w:r>
    </w:p>
    <w:p>
      <w:pPr>
        <w:spacing w:before="40" w:after="120" w:line="276" w:lineRule="auto"/>
        <w:ind w:left="0" w:right="0" w:firstLine="0"/>
        <w:jc w:val="left"/>
      </w:pPr>
      <w:r>
        <w:rPr>
          <w:rFonts w:ascii="Arial" w:hAnsi="Arial"/>
          <w:color w:val="1E1E1E"/>
          <w:sz w:val="21"/>
        </w:rPr>
        <w:t>Once a Geographical Indication is successfully registered under the Act, it confers powerful collective rights upon the registered proprietors and authorized users:</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Exclusive Right to Use:</w:t>
      </w:r>
      <w:r>
        <w:rPr>
          <w:rFonts w:ascii="Arial" w:hAnsi="Arial"/>
          <w:color w:val="1E1E1E"/>
          <w:sz w:val="21"/>
        </w:rPr>
        <w:t xml:space="preserve"> Authorized users have the exclusive right to use the geographical indication in commerce with respect to the registered goods.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Right to Obtain Relief Against Infringement:</w:t>
      </w:r>
      <w:r>
        <w:rPr>
          <w:rFonts w:ascii="Arial" w:hAnsi="Arial"/>
          <w:color w:val="1E1E1E"/>
          <w:sz w:val="21"/>
        </w:rPr>
        <w:t xml:space="preserve"> Registered owners and authorized users can initiate legal action in courts to seek injunctions, damages, or accounts of profits against anyone using a protected GI fraudulently or deceptively.</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Prevention of Unfair Competition:</w:t>
      </w:r>
      <w:r>
        <w:rPr>
          <w:rFonts w:ascii="Arial" w:hAnsi="Arial"/>
          <w:color w:val="1E1E1E"/>
          <w:sz w:val="21"/>
        </w:rPr>
        <w:t xml:space="preserve"> It stops traders from engaging in passing off—preventing unauthorized businesses from misrepresenting their products as originating from the famous geographical region.</w:t>
      </w:r>
    </w:p>
    <w:p>
      <w:pPr>
        <w:spacing w:before="40" w:after="100" w:line="276" w:lineRule="auto"/>
        <w:ind w:left="461" w:right="0" w:hanging="317"/>
        <w:jc w:val="left"/>
      </w:pPr>
      <w:r>
        <w:rPr>
          <w:rFonts w:ascii="Arial" w:hAnsi="Arial"/>
          <w:b/>
          <w:sz w:val="21"/>
        </w:rPr>
        <w:t xml:space="preserve">4. </w:t>
      </w:r>
      <w:r>
        <w:rPr>
          <w:rFonts w:ascii="Arial" w:hAnsi="Arial"/>
          <w:b/>
          <w:color w:val="1E1E1E"/>
          <w:sz w:val="21"/>
        </w:rPr>
        <w:t>Prohibition on Registration of Misleading Trademarks:</w:t>
      </w:r>
      <w:r>
        <w:rPr>
          <w:rFonts w:ascii="Arial" w:hAnsi="Arial"/>
          <w:color w:val="1E1E1E"/>
          <w:sz w:val="21"/>
        </w:rPr>
        <w:t xml:space="preserve"> The Registrar of Trademarks will refuse or invalidate trademark applications that incorporate a registered GI if the use of such a mark is likely to deceive or confuse consumers regarding the true origin of the goods.</w:t>
      </w:r>
    </w:p>
    <w:p>
      <w:pPr>
        <w:keepNext/>
        <w:spacing w:before="220" w:after="100" w:line="276" w:lineRule="auto"/>
        <w:ind w:left="0" w:right="0" w:firstLine="0"/>
        <w:jc w:val="left"/>
      </w:pPr>
      <w:r>
        <w:rPr>
          <w:rFonts w:ascii="Arial" w:hAnsi="Arial"/>
          <w:b/>
          <w:color w:val="111827"/>
          <w:sz w:val="25"/>
        </w:rPr>
        <w:t>Difference Between Trademark and Geographical Indication</w:t>
      </w:r>
    </w:p>
    <w:tbl>
      <w:tblPr>
        <w:tblW w:type="auto" w:w="0"/>
        <w:jc w:val="center"/>
        <w:tblLayout w:type="fixed"/>
        <w:tblLook w:firstColumn="1" w:firstRow="1" w:lastColumn="0" w:lastRow="0" w:noHBand="0" w:noVBand="1" w:val="04A0"/>
      </w:tblPr>
      <w:tblGrid>
        <w:gridCol w:w="3216"/>
        <w:gridCol w:w="3216"/>
        <w:gridCol w:w="3216"/>
      </w:tblGrid>
      <w:tr>
        <w:trPr>
          <w:cantSplit/>
          <w:tblHeader/>
        </w:trPr>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Feature</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Trademark</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Geographical Indication (GI)</w:t>
            </w:r>
          </w:p>
        </w:tc>
      </w:tr>
      <w:tr>
        <w:trPr>
          <w:cantSplit/>
        </w:trPr>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Function</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xml:space="preserve">Identifies the commercial </w:t>
            </w:r>
            <w:r>
              <w:rPr>
                <w:rFonts w:ascii="Arial" w:hAnsi="Arial"/>
                <w:b/>
                <w:color w:val="1E1E1E"/>
                <w:sz w:val="19"/>
              </w:rPr>
              <w:t>origin or enterprise</w:t>
            </w:r>
            <w:r>
              <w:rPr>
                <w:rFonts w:ascii="Arial" w:hAnsi="Arial"/>
                <w:color w:val="1E1E1E"/>
                <w:sz w:val="19"/>
              </w:rPr>
              <w:t xml:space="preserve"> behind a specific product (e.g., Apple, Nike).</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xml:space="preserve">Identifies the </w:t>
            </w:r>
            <w:r>
              <w:rPr>
                <w:rFonts w:ascii="Arial" w:hAnsi="Arial"/>
                <w:b/>
                <w:color w:val="1E1E1E"/>
                <w:sz w:val="19"/>
              </w:rPr>
              <w:t>geographical origin</w:t>
            </w:r>
            <w:r>
              <w:rPr>
                <w:rFonts w:ascii="Arial" w:hAnsi="Arial"/>
                <w:color w:val="1E1E1E"/>
                <w:sz w:val="19"/>
              </w:rPr>
              <w:t xml:space="preserve"> and regional characteristics of a product (e.g., Darjeeling Tea, Kanchipuram Silk).</w:t>
            </w:r>
          </w:p>
        </w:tc>
      </w:tr>
      <w:tr>
        <w:trPr>
          <w:cantSplit/>
        </w:trPr>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Ownership</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xml:space="preserve">Owned by an </w:t>
            </w:r>
            <w:r>
              <w:rPr>
                <w:rFonts w:ascii="Arial" w:hAnsi="Arial"/>
                <w:b/>
                <w:color w:val="1E1E1E"/>
                <w:sz w:val="19"/>
              </w:rPr>
              <w:t>individual, corporate entity, or private business</w:t>
            </w:r>
            <w:r>
              <w:rPr>
                <w:rFonts w:ascii="Arial" w:hAnsi="Arial"/>
                <w:color w:val="1E1E1E"/>
                <w:sz w:val="19"/>
              </w:rPr>
              <w:t>.</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xml:space="preserve">Owned collectively by an </w:t>
            </w:r>
            <w:r>
              <w:rPr>
                <w:rFonts w:ascii="Arial" w:hAnsi="Arial"/>
                <w:b/>
                <w:color w:val="1E1E1E"/>
                <w:sz w:val="19"/>
              </w:rPr>
              <w:t>association of producers, community, or statutory authority</w:t>
            </w:r>
            <w:r>
              <w:rPr>
                <w:rFonts w:ascii="Arial" w:hAnsi="Arial"/>
                <w:color w:val="1E1E1E"/>
                <w:sz w:val="19"/>
              </w:rPr>
              <w:t>.</w:t>
            </w:r>
          </w:p>
        </w:tc>
      </w:tr>
      <w:tr>
        <w:trPr>
          <w:cantSplit/>
        </w:trPr>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Assignability</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Can be freely assigned, sold, licensed, or transferred to third parties.</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Cannot be assigned or transferred</w:t>
            </w:r>
            <w:r>
              <w:rPr>
                <w:rFonts w:ascii="Arial" w:hAnsi="Arial"/>
                <w:color w:val="1E1E1E"/>
                <w:sz w:val="19"/>
              </w:rPr>
              <w:t>, because it is inextricably linked to a specific geographic territory and community.</w:t>
            </w:r>
          </w:p>
        </w:tc>
      </w:tr>
      <w:tr>
        <w:trPr>
          <w:cantSplit/>
        </w:trPr>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Duration</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xml:space="preserve">Valid for 10 years, but can be </w:t>
            </w:r>
            <w:r>
              <w:rPr>
                <w:rFonts w:ascii="Arial" w:hAnsi="Arial"/>
                <w:b/>
                <w:color w:val="1E1E1E"/>
                <w:sz w:val="19"/>
              </w:rPr>
              <w:t>renewed indefinitely</w:t>
            </w:r>
            <w:r>
              <w:rPr>
                <w:rFonts w:ascii="Arial" w:hAnsi="Arial"/>
                <w:color w:val="1E1E1E"/>
                <w:sz w:val="19"/>
              </w:rPr>
              <w:t>.</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xml:space="preserve">Valid for 10 years, but can be </w:t>
            </w:r>
            <w:r>
              <w:rPr>
                <w:rFonts w:ascii="Arial" w:hAnsi="Arial"/>
                <w:b/>
                <w:color w:val="1E1E1E"/>
                <w:sz w:val="19"/>
              </w:rPr>
              <w:t>renewed indefinitely</w:t>
            </w:r>
            <w:r>
              <w:rPr>
                <w:rFonts w:ascii="Arial" w:hAnsi="Arial"/>
                <w:color w:val="1E1E1E"/>
                <w:sz w:val="19"/>
              </w:rPr>
              <w:t xml:space="preserve"> (provided the regional quality is maintained).</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Summary and Conclusion</w:t>
      </w:r>
    </w:p>
    <w:p>
      <w:pPr>
        <w:spacing w:before="40" w:after="120" w:line="276" w:lineRule="auto"/>
        <w:ind w:left="0" w:right="0" w:firstLine="0"/>
        <w:jc w:val="left"/>
      </w:pPr>
      <w:r>
        <w:rPr>
          <w:rFonts w:ascii="Arial" w:hAnsi="Arial"/>
          <w:color w:val="1E1E1E"/>
          <w:sz w:val="21"/>
        </w:rPr>
        <w:t xml:space="preserve">Geographical Indications play a vital role in modern intellectual property law and international trade. By legally anchoring the reputation of a product to its </w:t>
      </w:r>
      <w:r>
        <w:rPr>
          <w:rFonts w:ascii="Arial" w:hAnsi="Arial"/>
          <w:b/>
          <w:color w:val="1E1E1E"/>
          <w:sz w:val="21"/>
        </w:rPr>
        <w:t>territorial roots, local environment, and traditional craftsmanship</w:t>
      </w:r>
      <w:r>
        <w:rPr>
          <w:rFonts w:ascii="Arial" w:hAnsi="Arial"/>
          <w:color w:val="1E1E1E"/>
          <w:sz w:val="21"/>
        </w:rPr>
        <w:t>, GI laws protect regional economies, prevent commercial exploitation by fraudulent manufacturers, and empower consumers with transparent, authentic information. Through iconic illustrations like Darjeeling Tea, Kanchipuram Silk, and Champagne, GIs ensure that cultural heritage and geographical uniqueness are successfully preserved and rewarded in the global marketplace.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