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8</w:t>
      </w:r>
    </w:p>
    <w:p>
      <w:pPr>
        <w:spacing w:before="0" w:after="240" w:line="288" w:lineRule="auto"/>
        <w:ind w:left="0" w:right="0" w:firstLine="0"/>
        <w:jc w:val="left"/>
        <w:pBdr>
          <w:bottom w:val="single" w:sz="6" w:space="6" w:color="D0D5DD"/>
        </w:pBdr>
      </w:pPr>
      <w:r>
        <w:rPr>
          <w:rFonts w:ascii="Arial" w:hAnsi="Arial"/>
          <w:b/>
          <w:color w:val="111827"/>
          <w:sz w:val="23"/>
        </w:rPr>
        <w:t>Discuss the salient features of Sale of Goods Act, 1930.</w:t>
      </w:r>
    </w:p>
    <w:p>
      <w:pPr>
        <w:keepNext/>
        <w:spacing w:before="220" w:after="100" w:line="276" w:lineRule="auto"/>
        <w:ind w:left="0" w:right="0" w:firstLine="0"/>
        <w:jc w:val="left"/>
      </w:pPr>
      <w:r>
        <w:rPr>
          <w:rFonts w:ascii="Arial" w:hAnsi="Arial"/>
          <w:b/>
          <w:color w:val="111827"/>
          <w:sz w:val="25"/>
        </w:rPr>
        <w:t>Introduction and Historical Background</w:t>
      </w:r>
    </w:p>
    <w:p>
      <w:pPr>
        <w:spacing w:before="40" w:after="120" w:line="276" w:lineRule="auto"/>
        <w:ind w:left="0" w:right="0" w:firstLine="0"/>
        <w:jc w:val="left"/>
      </w:pPr>
      <w:r>
        <w:rPr>
          <w:rFonts w:ascii="Arial" w:hAnsi="Arial"/>
          <w:color w:val="1E1E1E"/>
          <w:sz w:val="21"/>
        </w:rPr>
        <w:t xml:space="preserve">The </w:t>
      </w:r>
      <w:r>
        <w:rPr>
          <w:rFonts w:ascii="Arial" w:hAnsi="Arial"/>
          <w:b/>
          <w:color w:val="1E1E1E"/>
          <w:sz w:val="21"/>
        </w:rPr>
        <w:t>Sale of Goods Act, 1930</w:t>
      </w:r>
      <w:r>
        <w:rPr>
          <w:rFonts w:ascii="Arial" w:hAnsi="Arial"/>
          <w:color w:val="1E1E1E"/>
          <w:sz w:val="21"/>
        </w:rPr>
        <w:t xml:space="preserve"> is a foundational piece of commercial legislation in India that governs transactions involving the transfer of ownership of movable property from a seller to a buyer. Prior to 1930, commercial transactions in India regarding the sale of goods were regulated by </w:t>
      </w:r>
      <w:r>
        <w:rPr>
          <w:rFonts w:ascii="Arial" w:hAnsi="Arial"/>
          <w:b/>
          <w:color w:val="1E1E1E"/>
          <w:sz w:val="21"/>
        </w:rPr>
        <w:t>Chapter VII (Sections 76 to 123) of the Indian Contract Act, 1872</w:t>
      </w:r>
      <w:r>
        <w:rPr>
          <w:rFonts w:ascii="Arial" w:hAnsi="Arial"/>
          <w:color w:val="1E1E1E"/>
          <w:sz w:val="21"/>
        </w:rPr>
        <w:t>.</w:t>
      </w:r>
    </w:p>
    <w:p>
      <w:pPr>
        <w:spacing w:before="40" w:after="120" w:line="276" w:lineRule="auto"/>
        <w:ind w:left="0" w:right="0" w:firstLine="0"/>
        <w:jc w:val="left"/>
      </w:pPr>
      <w:r>
        <w:rPr>
          <w:rFonts w:ascii="Arial" w:hAnsi="Arial"/>
          <w:color w:val="1E1E1E"/>
          <w:sz w:val="21"/>
        </w:rPr>
        <w:t xml:space="preserve">However, as commercial trade expanded rapidly during the early 20th century, the general provisions of the Indian Contract Act proved inadequate to address the complex, specialized legal challenges unique to mercantile transactions. Consequently, the legislature enacted a separate, comprehensive statute modeled closely on the English </w:t>
      </w:r>
      <w:r>
        <w:rPr>
          <w:rFonts w:ascii="Arial" w:hAnsi="Arial"/>
          <w:b/>
          <w:color w:val="1E1E1E"/>
          <w:sz w:val="21"/>
        </w:rPr>
        <w:t>Sale of Goods Act, 1893</w:t>
      </w:r>
      <w:r>
        <w:rPr>
          <w:rFonts w:ascii="Arial" w:hAnsi="Arial"/>
          <w:color w:val="1E1E1E"/>
          <w:sz w:val="21"/>
        </w:rPr>
        <w:t>.</w:t>
      </w:r>
    </w:p>
    <w:p>
      <w:pPr>
        <w:spacing w:before="40" w:after="120" w:line="276" w:lineRule="auto"/>
        <w:ind w:left="0" w:right="0" w:firstLine="0"/>
        <w:jc w:val="left"/>
      </w:pPr>
      <w:r>
        <w:rPr>
          <w:rFonts w:ascii="Arial" w:hAnsi="Arial"/>
          <w:color w:val="1E1E1E"/>
          <w:sz w:val="21"/>
        </w:rPr>
        <w:t xml:space="preserve">The Act came into force on </w:t>
      </w:r>
      <w:r>
        <w:rPr>
          <w:rFonts w:ascii="Arial" w:hAnsi="Arial"/>
          <w:b/>
          <w:color w:val="1E1E1E"/>
          <w:sz w:val="21"/>
        </w:rPr>
        <w:t>July 1, 1930</w:t>
      </w:r>
      <w:r>
        <w:rPr>
          <w:rFonts w:ascii="Arial" w:hAnsi="Arial"/>
          <w:color w:val="1E1E1E"/>
          <w:sz w:val="21"/>
        </w:rPr>
        <w:t>, and currently applies across the entire territory of India. Its primary objective is to define, amend, and clarify the legal rights, duties, and remedies of both buyers and sellers, ensuring commercial certainty, fairness, and predictability in everyday trade.</w:t>
      </w:r>
    </w:p>
    <w:p>
      <w:pPr>
        <w:keepNext/>
        <w:spacing w:before="220" w:after="100" w:line="276" w:lineRule="auto"/>
        <w:ind w:left="0" w:right="0" w:firstLine="0"/>
        <w:jc w:val="left"/>
      </w:pPr>
      <w:r>
        <w:rPr>
          <w:rFonts w:ascii="Arial" w:hAnsi="Arial"/>
          <w:b/>
          <w:color w:val="111827"/>
          <w:sz w:val="25"/>
        </w:rPr>
        <w:t>Scope and Applicability of the Act</w:t>
      </w:r>
    </w:p>
    <w:p>
      <w:pPr>
        <w:spacing w:before="40" w:after="120" w:line="276" w:lineRule="auto"/>
        <w:ind w:left="0" w:right="0" w:firstLine="0"/>
        <w:jc w:val="left"/>
      </w:pPr>
      <w:r>
        <w:rPr>
          <w:rFonts w:ascii="Arial" w:hAnsi="Arial"/>
          <w:color w:val="1E1E1E"/>
          <w:sz w:val="21"/>
        </w:rPr>
        <w:t>To understand the operation of the Act, one must examine its territorial reach, the nature of the property it governs, and its relationship with general contract law.</w:t>
      </w:r>
    </w:p>
    <w:p>
      <w:pPr>
        <w:keepNext/>
        <w:spacing w:before="220" w:after="100" w:line="276" w:lineRule="auto"/>
        <w:ind w:left="0" w:right="0" w:firstLine="0"/>
        <w:jc w:val="left"/>
      </w:pPr>
      <w:r>
        <w:rPr>
          <w:rFonts w:ascii="Arial" w:hAnsi="Arial"/>
          <w:b/>
          <w:color w:val="111827"/>
          <w:sz w:val="25"/>
        </w:rPr>
        <w:t>1. Territorial Extent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The Act extends to the whole of India, providing a uniform legal framework for commercial trade across all states and union territories.</w:t>
      </w:r>
    </w:p>
    <w:p>
      <w:pPr>
        <w:keepNext/>
        <w:spacing w:before="220" w:after="100" w:line="276" w:lineRule="auto"/>
        <w:ind w:left="0" w:right="0" w:firstLine="0"/>
        <w:jc w:val="left"/>
      </w:pPr>
      <w:r>
        <w:rPr>
          <w:rFonts w:ascii="Arial" w:hAnsi="Arial"/>
          <w:b/>
          <w:color w:val="111827"/>
          <w:sz w:val="25"/>
        </w:rPr>
        <w:t>2. Movable Property Exclusively</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The Act applies </w:t>
      </w:r>
      <w:r>
        <w:rPr>
          <w:rFonts w:ascii="Arial" w:hAnsi="Arial"/>
          <w:b/>
          <w:color w:val="1E1E1E"/>
          <w:sz w:val="21"/>
        </w:rPr>
        <w:t>only to movable property (goods)</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Under Section 2(7), "goods" are defined as every kind of movable property other than actionable claims and money. This includes stock, shares, growing crops, grass, and things attached to or forming part of the land which are agreed to be severed before sale or under the contract of sale.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Exclusions:</w:t>
      </w:r>
      <w:r>
        <w:rPr>
          <w:rFonts w:ascii="Arial" w:hAnsi="Arial"/>
          <w:color w:val="1E1E1E"/>
          <w:sz w:val="21"/>
        </w:rPr>
        <w:t xml:space="preserve"> Immovable property (such as land, houses, and buildings) falls entirely outside the scope of this Act and is governed by the </w:t>
      </w:r>
      <w:r>
        <w:rPr>
          <w:rFonts w:ascii="Arial" w:hAnsi="Arial"/>
          <w:b/>
          <w:color w:val="1E1E1E"/>
          <w:sz w:val="21"/>
        </w:rPr>
        <w:t>Transfer of Property Act, 1882</w:t>
      </w:r>
      <w:r>
        <w:rPr>
          <w:rFonts w:ascii="Arial" w:hAnsi="Arial"/>
          <w:color w:val="1E1E1E"/>
          <w:sz w:val="21"/>
        </w:rPr>
        <w:t>. Furthermore, "actionable claims" (such as unsecured debts) and "money" (legal tender) are also excluded.</w:t>
      </w:r>
    </w:p>
    <w:p>
      <w:pPr>
        <w:keepNext/>
        <w:spacing w:before="220" w:after="100" w:line="276" w:lineRule="auto"/>
        <w:ind w:left="0" w:right="0" w:firstLine="0"/>
        <w:jc w:val="left"/>
      </w:pPr>
      <w:r>
        <w:rPr>
          <w:rFonts w:ascii="Arial" w:hAnsi="Arial"/>
          <w:b/>
          <w:color w:val="111827"/>
          <w:sz w:val="25"/>
        </w:rPr>
        <w:t>3. Relationship with the Indian Contract Act, 1872</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Section 64 specifies that the unrepealed provisions of the Indian Contract Act, 1872, continue to apply to contracts for the sale of goods, provided they are not inconsistent with the express provisions of the Sale of Goods Act, 1930.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General principles of contract law—such as offer and acceptance, capacity of parties, free consent, coercion, fraud, undue influence, and legality of object—remain fully applicable to contracts of sale.</w:t>
      </w:r>
    </w:p>
    <w:p>
      <w:pPr>
        <w:keepNext/>
        <w:spacing w:before="220" w:after="100" w:line="276" w:lineRule="auto"/>
        <w:ind w:left="0" w:right="0" w:firstLine="0"/>
        <w:jc w:val="left"/>
      </w:pPr>
      <w:r>
        <w:rPr>
          <w:rFonts w:ascii="Arial" w:hAnsi="Arial"/>
          <w:b/>
          <w:color w:val="111827"/>
          <w:sz w:val="25"/>
        </w:rPr>
        <w:t>Contract of Sale: Meaning and Formation</w:t>
      </w:r>
    </w:p>
    <w:p>
      <w:pPr>
        <w:spacing w:before="40" w:after="120" w:line="276" w:lineRule="auto"/>
        <w:ind w:left="0" w:right="0" w:firstLine="0"/>
        <w:jc w:val="left"/>
      </w:pPr>
      <w:r>
        <w:rPr>
          <w:rFonts w:ascii="Arial" w:hAnsi="Arial"/>
          <w:color w:val="1E1E1E"/>
          <w:sz w:val="21"/>
        </w:rPr>
        <w:t>A contract of sale is a bilateral agreement through which legal rights and obligations are created between a buyer and a seller.</w:t>
      </w:r>
    </w:p>
    <w:p>
      <w:pPr>
        <w:keepNext/>
        <w:spacing w:before="220" w:after="100" w:line="276" w:lineRule="auto"/>
        <w:ind w:left="0" w:right="0" w:firstLine="0"/>
        <w:jc w:val="left"/>
      </w:pPr>
      <w:r>
        <w:rPr>
          <w:rFonts w:ascii="Arial" w:hAnsi="Arial"/>
          <w:b/>
          <w:color w:val="111827"/>
          <w:sz w:val="25"/>
        </w:rPr>
        <w:t>1. Statutory Definition</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According to </w:t>
      </w:r>
      <w:r>
        <w:rPr>
          <w:rFonts w:ascii="Arial" w:hAnsi="Arial"/>
          <w:b/>
          <w:color w:val="1E1E1E"/>
          <w:sz w:val="21"/>
        </w:rPr>
        <w:t>Section 4(1)</w:t>
      </w:r>
      <w:r>
        <w:rPr>
          <w:rFonts w:ascii="Arial" w:hAnsi="Arial"/>
          <w:color w:val="1E1E1E"/>
          <w:sz w:val="21"/>
        </w:rPr>
        <w:t xml:space="preserve">, a contract of sale of goods is a contract whereby the seller </w:t>
      </w:r>
      <w:r>
        <w:rPr>
          <w:rFonts w:ascii="Arial" w:hAnsi="Arial"/>
          <w:b/>
          <w:color w:val="1E1E1E"/>
          <w:sz w:val="21"/>
        </w:rPr>
        <w:t>transfers or agrees to transfer the property in goods to the buyer for a price</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The contract may be absolute or conditional.</w:t>
      </w:r>
    </w:p>
    <w:p>
      <w:pPr>
        <w:keepNext/>
        <w:spacing w:before="220" w:after="100" w:line="276" w:lineRule="auto"/>
        <w:ind w:left="0" w:right="0" w:firstLine="0"/>
        <w:jc w:val="left"/>
      </w:pPr>
      <w:r>
        <w:rPr>
          <w:rFonts w:ascii="Arial" w:hAnsi="Arial"/>
          <w:b/>
          <w:color w:val="111827"/>
          <w:sz w:val="25"/>
        </w:rPr>
        <w:t>2. Sale vs. Agreement to Sell</w:t>
      </w:r>
    </w:p>
    <w:p>
      <w:pPr>
        <w:spacing w:before="40" w:after="120" w:line="276" w:lineRule="auto"/>
        <w:ind w:left="0" w:right="0" w:firstLine="0"/>
        <w:jc w:val="left"/>
      </w:pPr>
      <w:r>
        <w:rPr>
          <w:rFonts w:ascii="Arial" w:hAnsi="Arial"/>
          <w:color w:val="1E1E1E"/>
          <w:sz w:val="21"/>
        </w:rPr>
        <w:t>The Act makes a crucial structural distinction based on when the transfer of ownership takes place:</w:t>
      </w:r>
    </w:p>
    <w:tbl>
      <w:tblPr>
        <w:tblW w:type="auto" w:w="0"/>
        <w:jc w:val="center"/>
        <w:tblLayout w:type="fixed"/>
        <w:tblLook w:firstColumn="1" w:firstRow="1" w:lastColumn="0" w:lastRow="0" w:noHBand="0" w:noVBand="1" w:val="04A0"/>
      </w:tblPr>
      <w:tblGrid>
        <w:gridCol w:w="3216"/>
        <w:gridCol w:w="3216"/>
        <w:gridCol w:w="3216"/>
      </w:tblGrid>
      <w:tr>
        <w:trPr>
          <w:cantSplit/>
          <w:tblHeader/>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Feature</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Sale</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Agreement to Sell</w:t>
            </w:r>
          </w:p>
        </w:tc>
      </w:tr>
      <w:tr>
        <w:trPr>
          <w:cantSplit/>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Transfer of Ownership</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Property in the goods passes from the seller to the buyer </w:t>
            </w:r>
            <w:r>
              <w:rPr>
                <w:rFonts w:ascii="Arial" w:hAnsi="Arial"/>
                <w:b/>
                <w:color w:val="1E1E1E"/>
                <w:sz w:val="19"/>
              </w:rPr>
              <w:t>immediately</w:t>
            </w:r>
            <w:r>
              <w:rPr>
                <w:rFonts w:ascii="Arial" w:hAnsi="Arial"/>
                <w:color w:val="1E1E1E"/>
                <w:sz w:val="19"/>
              </w:rPr>
              <w:t xml:space="preserve"> at the time of making the contract.</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Property in the goods is to pass at a </w:t>
            </w:r>
            <w:r>
              <w:rPr>
                <w:rFonts w:ascii="Arial" w:hAnsi="Arial"/>
                <w:b/>
                <w:color w:val="1E1E1E"/>
                <w:sz w:val="19"/>
              </w:rPr>
              <w:t>future time</w:t>
            </w:r>
            <w:r>
              <w:rPr>
                <w:rFonts w:ascii="Arial" w:hAnsi="Arial"/>
                <w:color w:val="1E1E1E"/>
                <w:sz w:val="19"/>
              </w:rPr>
              <w:t xml:space="preserve"> or subject to some condition thereafter to be fulfilled.</w:t>
            </w:r>
          </w:p>
        </w:tc>
      </w:tr>
      <w:tr>
        <w:trPr>
          <w:cantSplit/>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Nature of Contract</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It is an </w:t>
            </w:r>
            <w:r>
              <w:rPr>
                <w:rFonts w:ascii="Arial" w:hAnsi="Arial"/>
                <w:b/>
                <w:color w:val="1E1E1E"/>
                <w:sz w:val="19"/>
              </w:rPr>
              <w:t>executed contract</w:t>
            </w:r>
            <w:r>
              <w:rPr>
                <w:rFonts w:ascii="Arial" w:hAnsi="Arial"/>
                <w:color w:val="1E1E1E"/>
                <w:sz w:val="19"/>
              </w:rPr>
              <w:t xml:space="preserve"> because the transaction is completed.</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It is an </w:t>
            </w:r>
            <w:r>
              <w:rPr>
                <w:rFonts w:ascii="Arial" w:hAnsi="Arial"/>
                <w:b/>
                <w:color w:val="1E1E1E"/>
                <w:sz w:val="19"/>
              </w:rPr>
              <w:t>executory contract</w:t>
            </w:r>
            <w:r>
              <w:rPr>
                <w:rFonts w:ascii="Arial" w:hAnsi="Arial"/>
                <w:color w:val="1E1E1E"/>
                <w:sz w:val="19"/>
              </w:rPr>
              <w:t xml:space="preserve"> because obligations remain to be performed.</w:t>
            </w:r>
          </w:p>
        </w:tc>
      </w:tr>
      <w:tr>
        <w:trPr>
          <w:cantSplit/>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Risk of Loss</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Risk follows ownership (</w:t>
            </w:r>
            <w:r>
              <w:rPr>
                <w:rFonts w:ascii="Arial" w:hAnsi="Arial"/>
                <w:b/>
                <w:color w:val="1E1E1E"/>
                <w:sz w:val="19"/>
              </w:rPr>
              <w:t>Res perit domino</w:t>
            </w:r>
            <w:r>
              <w:rPr>
                <w:rFonts w:ascii="Arial" w:hAnsi="Arial"/>
                <w:color w:val="1E1E1E"/>
                <w:sz w:val="19"/>
              </w:rPr>
              <w:t xml:space="preserve">). If the goods are damaged or destroyed, the loss falls on the </w:t>
            </w:r>
            <w:r>
              <w:rPr>
                <w:rFonts w:ascii="Arial" w:hAnsi="Arial"/>
                <w:b/>
                <w:color w:val="1E1E1E"/>
                <w:sz w:val="19"/>
              </w:rPr>
              <w:t>buyer</w:t>
            </w:r>
            <w:r>
              <w:rPr>
                <w:rFonts w:ascii="Arial" w:hAnsi="Arial"/>
                <w:color w:val="1E1E1E"/>
                <w:sz w:val="19"/>
              </w:rPr>
              <w:t>, even if the goods are still with the seller.</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Risk remains with the </w:t>
            </w:r>
            <w:r>
              <w:rPr>
                <w:rFonts w:ascii="Arial" w:hAnsi="Arial"/>
                <w:b/>
                <w:color w:val="1E1E1E"/>
                <w:sz w:val="19"/>
              </w:rPr>
              <w:t>seller</w:t>
            </w:r>
            <w:r>
              <w:rPr>
                <w:rFonts w:ascii="Arial" w:hAnsi="Arial"/>
                <w:color w:val="1E1E1E"/>
                <w:sz w:val="19"/>
              </w:rPr>
              <w:t>. If the goods are damaged or destroyed, the loss falls on the seller, even if physical possession has been handed over to the buyer.</w:t>
            </w:r>
          </w:p>
        </w:tc>
      </w:tr>
      <w:tr>
        <w:trPr>
          <w:cantSplit/>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Remedies for Breach</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If the buyer fails to pay, the seller can sue for the </w:t>
            </w:r>
            <w:r>
              <w:rPr>
                <w:rFonts w:ascii="Arial" w:hAnsi="Arial"/>
                <w:b/>
                <w:color w:val="1E1E1E"/>
                <w:sz w:val="19"/>
              </w:rPr>
              <w:t>price</w:t>
            </w:r>
            <w:r>
              <w:rPr>
                <w:rFonts w:ascii="Arial" w:hAnsi="Arial"/>
                <w:color w:val="1E1E1E"/>
                <w:sz w:val="19"/>
              </w:rPr>
              <w:t xml:space="preserve"> of the goods.</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 xml:space="preserve">If the buyer breaches, the seller can generally only sue for </w:t>
            </w:r>
            <w:r>
              <w:rPr>
                <w:rFonts w:ascii="Arial" w:hAnsi="Arial"/>
                <w:b/>
                <w:color w:val="1E1E1E"/>
                <w:sz w:val="19"/>
              </w:rPr>
              <w:t>damages</w:t>
            </w:r>
            <w:r>
              <w:rPr>
                <w:rFonts w:ascii="Arial" w:hAnsi="Arial"/>
                <w:color w:val="1E1E1E"/>
                <w:sz w:val="19"/>
              </w:rPr>
              <w:t>, not the price (unless the price was payable on a specific day).</w:t>
            </w:r>
          </w:p>
        </w:tc>
      </w:tr>
      <w:tr>
        <w:trPr>
          <w:cantSplit/>
        </w:trPr>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Right of Insolvency</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If the buyer becomes insolvent before paying, the official receiver/assignee cannot claim the goods; the seller can retain them.</w:t>
            </w:r>
          </w:p>
        </w:tc>
        <w:tc>
          <w:tcPr>
            <w:tcW w:type="dxa" w:w="321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If the seller becomes insolvent, the buyer cannot claim specific goods, and can only rank as an unsecured creditor for a refund.</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3. Essential Elements of a Valid Contract of Sale</w:t>
      </w:r>
    </w:p>
    <w:p>
      <w:pPr>
        <w:spacing w:before="40" w:after="120" w:line="276" w:lineRule="auto"/>
        <w:ind w:left="0" w:right="0" w:firstLine="0"/>
        <w:jc w:val="left"/>
      </w:pPr>
      <w:r>
        <w:rPr>
          <w:rFonts w:ascii="Arial" w:hAnsi="Arial"/>
          <w:color w:val="1E1E1E"/>
          <w:sz w:val="21"/>
        </w:rPr>
        <w:t>To constitute a valid contract of sale, all standard elements of a valid contract under Section 10 of the Indian Contract Act must be present, alongside specific statutory requirements: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Two Parties:</w:t>
      </w:r>
      <w:r>
        <w:rPr>
          <w:rFonts w:ascii="Arial" w:hAnsi="Arial"/>
          <w:color w:val="1E1E1E"/>
          <w:sz w:val="21"/>
        </w:rPr>
        <w:t xml:space="preserve"> There must be a buyer and a seller. A person cannot buy their own goods, though a part-owner can sell to another part-owner.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Goods:</w:t>
      </w:r>
      <w:r>
        <w:rPr>
          <w:rFonts w:ascii="Arial" w:hAnsi="Arial"/>
          <w:color w:val="1E1E1E"/>
          <w:sz w:val="21"/>
        </w:rPr>
        <w:t xml:space="preserve"> There must be movable goods as the subject matter of the contract.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Price:</w:t>
      </w:r>
      <w:r>
        <w:rPr>
          <w:rFonts w:ascii="Arial" w:hAnsi="Arial"/>
          <w:color w:val="1E1E1E"/>
          <w:sz w:val="21"/>
        </w:rPr>
        <w:t xml:space="preserve"> There must be a monetary consideration, known as price. If goods are exchanged for goods (barter), it is not a sale. If goods are given for free, it is a gift, not a sale.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Transfer of Property:</w:t>
      </w:r>
      <w:r>
        <w:rPr>
          <w:rFonts w:ascii="Arial" w:hAnsi="Arial"/>
          <w:color w:val="1E1E1E"/>
          <w:sz w:val="21"/>
        </w:rPr>
        <w:t xml:space="preserve"> The general property (ownership) in the goods must be transferred or agreed to be transferred.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Legal Formalities:</w:t>
      </w:r>
      <w:r>
        <w:rPr>
          <w:rFonts w:ascii="Arial" w:hAnsi="Arial"/>
          <w:color w:val="1E1E1E"/>
          <w:sz w:val="21"/>
        </w:rPr>
        <w:t xml:space="preserve"> A contract of sale may be made in writing, by word of mouth, partly in writing and partly by word of mouth, or may be implied from the conduct of the parties.</w:t>
      </w:r>
    </w:p>
    <w:p>
      <w:pPr>
        <w:keepNext/>
        <w:spacing w:before="220" w:after="100" w:line="276" w:lineRule="auto"/>
        <w:ind w:left="0" w:right="0" w:firstLine="0"/>
        <w:jc w:val="left"/>
      </w:pPr>
      <w:r>
        <w:rPr>
          <w:rFonts w:ascii="Arial" w:hAnsi="Arial"/>
          <w:b/>
          <w:color w:val="111827"/>
          <w:sz w:val="25"/>
        </w:rPr>
        <w:t>Classification of Goods</w:t>
      </w:r>
    </w:p>
    <w:p>
      <w:pPr>
        <w:spacing w:before="40" w:after="120" w:line="276" w:lineRule="auto"/>
        <w:ind w:left="0" w:right="0" w:firstLine="0"/>
        <w:jc w:val="left"/>
      </w:pPr>
      <w:r>
        <w:rPr>
          <w:rFonts w:ascii="Arial" w:hAnsi="Arial"/>
          <w:color w:val="1E1E1E"/>
          <w:sz w:val="21"/>
        </w:rPr>
        <w:t>The subject matter of a contract of sale consists of goods, which are classified under the Act into three primary categories:</w:t>
      </w:r>
    </w:p>
    <w:p>
      <w:pPr>
        <w:keepNext/>
        <w:spacing w:before="220" w:after="100" w:line="276" w:lineRule="auto"/>
        <w:ind w:left="0" w:right="0" w:firstLine="0"/>
        <w:jc w:val="left"/>
      </w:pPr>
      <w:r>
        <w:rPr>
          <w:rFonts w:ascii="Arial" w:hAnsi="Arial"/>
          <w:b/>
          <w:color w:val="111827"/>
          <w:sz w:val="25"/>
        </w:rPr>
        <w:t>1. Existing Goods</w:t>
      </w:r>
    </w:p>
    <w:p>
      <w:pPr>
        <w:spacing w:before="40" w:after="120" w:line="276" w:lineRule="auto"/>
        <w:ind w:left="0" w:right="0" w:firstLine="0"/>
        <w:jc w:val="left"/>
      </w:pPr>
      <w:r>
        <w:rPr>
          <w:rFonts w:ascii="Arial" w:hAnsi="Arial"/>
          <w:color w:val="1E1E1E"/>
          <w:sz w:val="21"/>
        </w:rPr>
        <w:t>Goods that are owned or possessed by the seller at the time of entering into the contract. Existing goods are further subdivided into:</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Specific Goods:</w:t>
      </w:r>
      <w:r>
        <w:rPr>
          <w:rFonts w:ascii="Arial" w:hAnsi="Arial"/>
          <w:color w:val="1E1E1E"/>
          <w:sz w:val="21"/>
        </w:rPr>
        <w:t xml:space="preserve"> Goods identified and agreed upon at the time a contract of sale is made (e.g., a specific used car, a particular painting).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Ascertained Goods:</w:t>
      </w:r>
      <w:r>
        <w:rPr>
          <w:rFonts w:ascii="Arial" w:hAnsi="Arial"/>
          <w:color w:val="1E1E1E"/>
          <w:sz w:val="21"/>
        </w:rPr>
        <w:t xml:space="preserve"> Goods identified subsequent to the formation of the contract of sale (e.g., selecting 5 bags of rice out of 100 bags in a warehouse).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Unascertained or Generic Goods:</w:t>
      </w:r>
      <w:r>
        <w:rPr>
          <w:rFonts w:ascii="Arial" w:hAnsi="Arial"/>
          <w:color w:val="1E1E1E"/>
          <w:sz w:val="21"/>
        </w:rPr>
        <w:t xml:space="preserve"> Goods defined only by description and not identified or singled out at the time of the contract (e.g., an agreement to buy 50 kilograms of sugar from a merchant's stock).</w:t>
      </w:r>
    </w:p>
    <w:p>
      <w:pPr>
        <w:keepNext/>
        <w:spacing w:before="220" w:after="100" w:line="276" w:lineRule="auto"/>
        <w:ind w:left="0" w:right="0" w:firstLine="0"/>
        <w:jc w:val="left"/>
      </w:pPr>
      <w:r>
        <w:rPr>
          <w:rFonts w:ascii="Arial" w:hAnsi="Arial"/>
          <w:b/>
          <w:color w:val="111827"/>
          <w:sz w:val="25"/>
        </w:rPr>
        <w:t>2. Future Goods</w:t>
      </w:r>
    </w:p>
    <w:p>
      <w:pPr>
        <w:spacing w:before="40" w:after="120" w:line="276" w:lineRule="auto"/>
        <w:ind w:left="0" w:right="0" w:firstLine="0"/>
        <w:jc w:val="left"/>
      </w:pPr>
      <w:r>
        <w:rPr>
          <w:rFonts w:ascii="Arial" w:hAnsi="Arial"/>
          <w:color w:val="1E1E1E"/>
          <w:sz w:val="21"/>
        </w:rPr>
        <w:t>Goods to be manufactured, produced, or acquired by the seller after the making of the contract of sale (Section 2(6)).</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*Legal Effect:* An agreement to sell future goods operates as an agreement to sell, not an immediate sale, because a person cannot transfer ownership of goods they do not yet own.</w:t>
      </w:r>
    </w:p>
    <w:p>
      <w:pPr>
        <w:keepNext/>
        <w:spacing w:before="220" w:after="100" w:line="276" w:lineRule="auto"/>
        <w:ind w:left="0" w:right="0" w:firstLine="0"/>
        <w:jc w:val="left"/>
      </w:pPr>
      <w:r>
        <w:rPr>
          <w:rFonts w:ascii="Arial" w:hAnsi="Arial"/>
          <w:b/>
          <w:color w:val="111827"/>
          <w:sz w:val="25"/>
        </w:rPr>
        <w:t>3. Contingent Goods</w:t>
      </w:r>
    </w:p>
    <w:p>
      <w:pPr>
        <w:spacing w:before="40" w:after="120" w:line="276" w:lineRule="auto"/>
        <w:ind w:left="0" w:right="0" w:firstLine="0"/>
        <w:jc w:val="left"/>
      </w:pPr>
      <w:r>
        <w:rPr>
          <w:rFonts w:ascii="Arial" w:hAnsi="Arial"/>
          <w:color w:val="1E1E1E"/>
          <w:sz w:val="21"/>
        </w:rPr>
        <w:t>A type of future goods whose acquisition by the seller depends upon a contingency which may or may not happen (e.g., a contract to sell a specific cargo of goods arriving on a specific ship "if it arrives").</w:t>
      </w:r>
    </w:p>
    <w:p>
      <w:pPr>
        <w:keepNext/>
        <w:spacing w:before="220" w:after="100" w:line="276" w:lineRule="auto"/>
        <w:ind w:left="0" w:right="0" w:firstLine="0"/>
        <w:jc w:val="left"/>
      </w:pPr>
      <w:r>
        <w:rPr>
          <w:rFonts w:ascii="Arial" w:hAnsi="Arial"/>
          <w:b/>
          <w:color w:val="111827"/>
          <w:sz w:val="25"/>
        </w:rPr>
        <w:t>Conditions and Warranties</w:t>
      </w:r>
    </w:p>
    <w:p>
      <w:pPr>
        <w:spacing w:before="40" w:after="120" w:line="276" w:lineRule="auto"/>
        <w:ind w:left="0" w:right="0" w:firstLine="0"/>
        <w:jc w:val="left"/>
      </w:pPr>
      <w:r>
        <w:rPr>
          <w:rFonts w:ascii="Arial" w:hAnsi="Arial"/>
          <w:color w:val="1E1E1E"/>
          <w:sz w:val="21"/>
        </w:rPr>
        <w:t>Stipulations in a contract of sale with reference to goods form the core of buyer-seller obligations. The Act classifies these stipulations based on their relative importance.</w:t>
      </w:r>
    </w:p>
    <w:p>
      <w:pPr>
        <w:keepNext/>
        <w:spacing w:before="220" w:after="100" w:line="276" w:lineRule="auto"/>
        <w:ind w:left="0" w:right="0" w:firstLine="0"/>
        <w:jc w:val="left"/>
      </w:pPr>
      <w:r>
        <w:rPr>
          <w:rFonts w:ascii="Arial" w:hAnsi="Arial"/>
          <w:b/>
          <w:color w:val="111827"/>
          <w:sz w:val="25"/>
        </w:rPr>
        <w:t>1. Condition (Section 12(2))</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A condition is a stipulation </w:t>
      </w:r>
      <w:r>
        <w:rPr>
          <w:rFonts w:ascii="Arial" w:hAnsi="Arial"/>
          <w:b/>
          <w:color w:val="1E1E1E"/>
          <w:sz w:val="21"/>
        </w:rPr>
        <w:t>essential to the main purpose of the contract</w:t>
      </w:r>
      <w:r>
        <w:rPr>
          <w:rFonts w:ascii="Arial" w:hAnsi="Arial"/>
          <w:color w:val="1E1E1E"/>
          <w:sz w:val="21"/>
        </w:rPr>
        <w:t xml:space="preserve">, the breach of which gives rise to a </w:t>
      </w:r>
      <w:r>
        <w:rPr>
          <w:rFonts w:ascii="Arial" w:hAnsi="Arial"/>
          <w:b/>
          <w:color w:val="1E1E1E"/>
          <w:sz w:val="21"/>
        </w:rPr>
        <w:t>right to treat the contract as repudiated</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If a condition is breached, the aggrieved buyer can reject the goods, terminate the contract, and claim damages.</w:t>
      </w:r>
    </w:p>
    <w:p>
      <w:pPr>
        <w:keepNext/>
        <w:spacing w:before="220" w:after="100" w:line="276" w:lineRule="auto"/>
        <w:ind w:left="0" w:right="0" w:firstLine="0"/>
        <w:jc w:val="left"/>
      </w:pPr>
      <w:r>
        <w:rPr>
          <w:rFonts w:ascii="Arial" w:hAnsi="Arial"/>
          <w:b/>
          <w:color w:val="111827"/>
          <w:sz w:val="25"/>
        </w:rPr>
        <w:t>2. Warranty (Section 12(3))</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A warranty is a stipulation </w:t>
      </w:r>
      <w:r>
        <w:rPr>
          <w:rFonts w:ascii="Arial" w:hAnsi="Arial"/>
          <w:b/>
          <w:color w:val="1E1E1E"/>
          <w:sz w:val="21"/>
        </w:rPr>
        <w:t>collateral to the main purpose of the contract</w:t>
      </w:r>
      <w:r>
        <w:rPr>
          <w:rFonts w:ascii="Arial" w:hAnsi="Arial"/>
          <w:color w:val="1E1E1E"/>
          <w:sz w:val="21"/>
        </w:rPr>
        <w:t xml:space="preserve">, the breach of which gives rise to a claim for </w:t>
      </w:r>
      <w:r>
        <w:rPr>
          <w:rFonts w:ascii="Arial" w:hAnsi="Arial"/>
          <w:b/>
          <w:color w:val="1E1E1E"/>
          <w:sz w:val="21"/>
        </w:rPr>
        <w:t>damages but not to a right to reject the goods</w:t>
      </w:r>
      <w:r>
        <w:rPr>
          <w:rFonts w:ascii="Arial" w:hAnsi="Arial"/>
          <w:color w:val="1E1E1E"/>
          <w:sz w:val="21"/>
        </w:rPr>
        <w:t xml:space="preserve"> and treat the contract as repudiated.</w:t>
      </w:r>
    </w:p>
    <w:p>
      <w:pPr>
        <w:spacing w:before="40" w:after="120" w:line="276" w:lineRule="auto"/>
        <w:ind w:left="0" w:right="0" w:firstLine="0"/>
        <w:jc w:val="left"/>
      </w:pPr>
      <w:r>
        <w:rPr>
          <w:rFonts w:ascii="Arial" w:hAnsi="Arial"/>
          <w:color w:val="1E1E1E"/>
          <w:sz w:val="21"/>
        </w:rPr>
        <w:t>&gt; *Note on Conversion:* Under Section 13, a buyer may elect to treat the breach of a condition as a breach of warranty (e.g., accepting defective goods and claiming damages instead of rejecting them).</w:t>
      </w:r>
    </w:p>
    <w:p>
      <w:pPr>
        <w:keepNext/>
        <w:spacing w:before="220" w:after="100" w:line="276" w:lineRule="auto"/>
        <w:ind w:left="0" w:right="0" w:firstLine="0"/>
        <w:jc w:val="left"/>
      </w:pPr>
      <w:r>
        <w:rPr>
          <w:rFonts w:ascii="Arial" w:hAnsi="Arial"/>
          <w:b/>
          <w:color w:val="111827"/>
          <w:sz w:val="25"/>
        </w:rPr>
        <w:t>3. Express and Implied Terms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Express Conditions and Warranties:</w:t>
      </w:r>
      <w:r>
        <w:rPr>
          <w:rFonts w:ascii="Arial" w:hAnsi="Arial"/>
          <w:color w:val="1E1E1E"/>
          <w:sz w:val="21"/>
        </w:rPr>
        <w:t xml:space="preserve"> Explicitly agreed upon by the parties during negotiations.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Implied Conditions and Warranties:</w:t>
      </w:r>
      <w:r>
        <w:rPr>
          <w:rFonts w:ascii="Arial" w:hAnsi="Arial"/>
          <w:color w:val="1E1E1E"/>
          <w:sz w:val="21"/>
        </w:rPr>
        <w:t xml:space="preserve"> Read into the contract by law unless the circumstances of the contract show a contrary intention.</w:t>
      </w:r>
    </w:p>
    <w:p>
      <w:pPr>
        <w:keepNext/>
        <w:spacing w:before="180" w:after="60" w:line="276" w:lineRule="auto"/>
        <w:ind w:left="0" w:right="0" w:firstLine="0"/>
        <w:jc w:val="left"/>
      </w:pPr>
      <w:r>
        <w:rPr>
          <w:rFonts w:ascii="Arial" w:hAnsi="Arial"/>
          <w:b/>
          <w:color w:val="111827"/>
          <w:sz w:val="22"/>
        </w:rPr>
        <w:t>Key Implied Conditions: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Condition as to Title (Sec. 14(a)):</w:t>
      </w:r>
      <w:r>
        <w:rPr>
          <w:rFonts w:ascii="Arial" w:hAnsi="Arial"/>
          <w:color w:val="1E1E1E"/>
          <w:sz w:val="21"/>
        </w:rPr>
        <w:t xml:space="preserve"> In every sale, there is an implied condition that the seller has the right to sell the goods, and in an agreement to sell, they will have the right at the time when property is to pass.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Sale by Description (Sec. 15):</w:t>
      </w:r>
      <w:r>
        <w:rPr>
          <w:rFonts w:ascii="Arial" w:hAnsi="Arial"/>
          <w:color w:val="1E1E1E"/>
          <w:sz w:val="21"/>
        </w:rPr>
        <w:t xml:space="preserve"> Where goods are sold by description, there is an implied condition that the goods shall correspond with the description.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Condition as to Quality or Fitness (Sec. 16(1)):</w:t>
      </w:r>
      <w:r>
        <w:rPr>
          <w:rFonts w:ascii="Arial" w:hAnsi="Arial"/>
          <w:color w:val="1E1E1E"/>
          <w:sz w:val="21"/>
        </w:rPr>
        <w:t xml:space="preserve"> As a general rule (</w:t>
      </w:r>
      <w:r>
        <w:rPr>
          <w:rFonts w:ascii="Arial" w:hAnsi="Arial"/>
          <w:b/>
          <w:color w:val="1E1E1E"/>
          <w:sz w:val="21"/>
        </w:rPr>
        <w:t>Caveat Emptor</w:t>
      </w:r>
      <w:r>
        <w:rPr>
          <w:rFonts w:ascii="Arial" w:hAnsi="Arial"/>
          <w:color w:val="1E1E1E"/>
          <w:sz w:val="21"/>
        </w:rPr>
        <w:t>), there is no implied warranty or condition as to the quality or fitness of goods for any particular purpose. However, an implied condition of fitness arises if the buyer expressly or impliedly makes known to the seller the particular purpose for which goods are required, relies on the seller's skill or judgment, and the goods are of a description which it is in the course of the seller's business to supply.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Sale by Sample (Sec. 17):</w:t>
      </w:r>
      <w:r>
        <w:rPr>
          <w:rFonts w:ascii="Arial" w:hAnsi="Arial"/>
          <w:color w:val="1E1E1E"/>
          <w:sz w:val="21"/>
        </w:rPr>
        <w:t xml:space="preserve"> In a contract for sale by sample, there are implied conditions that the bulk shall correspond with the sample in quality, that the buyer shall have a reasonable opportunity of comparing the bulk with the sample, and that the goods shall be free from any defect rendering them un-merchantable which would not be apparent on reasonable examination of the sample.</w:t>
      </w:r>
    </w:p>
    <w:p>
      <w:pPr>
        <w:keepNext/>
        <w:spacing w:before="180" w:after="60" w:line="276" w:lineRule="auto"/>
        <w:ind w:left="0" w:right="0" w:firstLine="0"/>
        <w:jc w:val="left"/>
      </w:pPr>
      <w:r>
        <w:rPr>
          <w:rFonts w:ascii="Arial" w:hAnsi="Arial"/>
          <w:b/>
          <w:color w:val="111827"/>
          <w:sz w:val="22"/>
        </w:rPr>
        <w:t>Key Implied Warranties: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Warranty of Quiet Possession (Sec. 14(b)):</w:t>
      </w:r>
      <w:r>
        <w:rPr>
          <w:rFonts w:ascii="Arial" w:hAnsi="Arial"/>
          <w:color w:val="1E1E1E"/>
          <w:sz w:val="21"/>
        </w:rPr>
        <w:t xml:space="preserve"> An implied warranty that the buyer shall have and enjoy quiet possession of the goods.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Warranty of Freedom from Encumbrances (Sec. 14(c)):</w:t>
      </w:r>
      <w:r>
        <w:rPr>
          <w:rFonts w:ascii="Arial" w:hAnsi="Arial"/>
          <w:color w:val="1E1E1E"/>
          <w:sz w:val="21"/>
        </w:rPr>
        <w:t xml:space="preserve"> An implied warranty that the goods are free from any charge or encumbrance in favor of any third party not declared or known to the buyer before or at the time the contract is made.</w:t>
      </w:r>
    </w:p>
    <w:p>
      <w:pPr>
        <w:keepNext/>
        <w:spacing w:before="220" w:after="100" w:line="276" w:lineRule="auto"/>
        <w:ind w:left="0" w:right="0" w:firstLine="0"/>
        <w:jc w:val="left"/>
      </w:pPr>
      <w:r>
        <w:rPr>
          <w:rFonts w:ascii="Arial" w:hAnsi="Arial"/>
          <w:b/>
          <w:color w:val="111827"/>
          <w:sz w:val="25"/>
        </w:rPr>
        <w:t>The Doctrine of "Caveat Emptor" and Its Exceptions</w:t>
      </w:r>
    </w:p>
    <w:p>
      <w:pPr>
        <w:keepNext/>
        <w:spacing w:before="220" w:after="100" w:line="276" w:lineRule="auto"/>
        <w:ind w:left="0" w:right="0" w:firstLine="0"/>
        <w:jc w:val="left"/>
      </w:pPr>
      <w:r>
        <w:rPr>
          <w:rFonts w:ascii="Arial" w:hAnsi="Arial"/>
          <w:b/>
          <w:color w:val="111827"/>
          <w:sz w:val="25"/>
        </w:rPr>
        <w:t>1. Meaning of Caveat Emptor</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Derived from the Latin maxim </w:t>
      </w:r>
      <w:r>
        <w:rPr>
          <w:rFonts w:ascii="Arial" w:hAnsi="Arial"/>
          <w:b/>
          <w:color w:val="1E1E1E"/>
          <w:sz w:val="21"/>
        </w:rPr>
        <w:t>"Let the buyer beware"</w:t>
      </w:r>
      <w:r>
        <w:rPr>
          <w:rFonts w:ascii="Arial" w:hAnsi="Arial"/>
          <w:color w:val="1E1E1E"/>
          <w:sz w:val="21"/>
        </w:rPr>
        <w:t>, Section 16 establishes the foundational principle that in a contract of sale, the buyer must examine the goods thoroughly and judge their quality and suitability for themselves.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The seller is generally not bound to disclose flaws in their goods unless specifically asked, provided they do not use fraud to conceal defects.</w:t>
      </w:r>
    </w:p>
    <w:p>
      <w:pPr>
        <w:keepNext/>
        <w:spacing w:before="220" w:after="100" w:line="276" w:lineRule="auto"/>
        <w:ind w:left="0" w:right="0" w:firstLine="0"/>
        <w:jc w:val="left"/>
      </w:pPr>
      <w:r>
        <w:rPr>
          <w:rFonts w:ascii="Arial" w:hAnsi="Arial"/>
          <w:b/>
          <w:color w:val="111827"/>
          <w:sz w:val="25"/>
        </w:rPr>
        <w:t>2. Exceptions to Caveat Emptor</w:t>
      </w:r>
    </w:p>
    <w:p>
      <w:pPr>
        <w:spacing w:before="40" w:after="120" w:line="276" w:lineRule="auto"/>
        <w:ind w:left="0" w:right="0" w:firstLine="0"/>
        <w:jc w:val="left"/>
      </w:pPr>
      <w:r>
        <w:rPr>
          <w:rFonts w:ascii="Arial" w:hAnsi="Arial"/>
          <w:color w:val="1E1E1E"/>
          <w:sz w:val="21"/>
        </w:rPr>
        <w:t>To protect consumers from exploitation, the Act sets out several important exceptions where the burden shifts back to the seller:</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Fitness for Buyer's Purpose:</w:t>
      </w:r>
      <w:r>
        <w:rPr>
          <w:rFonts w:ascii="Arial" w:hAnsi="Arial"/>
          <w:color w:val="1E1E1E"/>
          <w:sz w:val="21"/>
        </w:rPr>
        <w:t xml:space="preserve"> Where the buyer specifies their purpose and relies on the seller's skill and judgment.</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Sale by Description:</w:t>
      </w:r>
      <w:r>
        <w:rPr>
          <w:rFonts w:ascii="Arial" w:hAnsi="Arial"/>
          <w:color w:val="1E1E1E"/>
          <w:sz w:val="21"/>
        </w:rPr>
        <w:t xml:space="preserve"> Where goods do not match the seller's description.</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Goods Purchased Under Patent or Trade Name:</w:t>
      </w:r>
      <w:r>
        <w:rPr>
          <w:rFonts w:ascii="Arial" w:hAnsi="Arial"/>
          <w:color w:val="1E1E1E"/>
          <w:sz w:val="21"/>
        </w:rPr>
        <w:t xml:space="preserve"> However, if goods are bought under a patent or trade name, there is no implied condition as to fitness for any particular purpose (proviso to Sec. 16(1)).</w:t>
      </w:r>
    </w:p>
    <w:p>
      <w:pPr>
        <w:spacing w:before="40" w:after="100" w:line="276" w:lineRule="auto"/>
        <w:ind w:left="461" w:right="0" w:hanging="317"/>
        <w:jc w:val="left"/>
      </w:pPr>
      <w:r>
        <w:rPr>
          <w:rFonts w:ascii="Arial" w:hAnsi="Arial"/>
          <w:b/>
          <w:sz w:val="21"/>
        </w:rPr>
        <w:t xml:space="preserve">4. </w:t>
      </w:r>
      <w:r>
        <w:rPr>
          <w:rFonts w:ascii="Arial" w:hAnsi="Arial"/>
          <w:b/>
          <w:color w:val="1E1E1E"/>
          <w:sz w:val="21"/>
        </w:rPr>
        <w:t>Merchantable Quality:</w:t>
      </w:r>
      <w:r>
        <w:rPr>
          <w:rFonts w:ascii="Arial" w:hAnsi="Arial"/>
          <w:color w:val="1E1E1E"/>
          <w:sz w:val="21"/>
        </w:rPr>
        <w:t xml:space="preserve"> Where goods are bought by description from a seller who deals in goods of that description, there is an implied condition that the goods are of merchantable quality.</w:t>
      </w:r>
    </w:p>
    <w:p>
      <w:pPr>
        <w:spacing w:before="40" w:after="100" w:line="276" w:lineRule="auto"/>
        <w:ind w:left="461" w:right="0" w:hanging="317"/>
        <w:jc w:val="left"/>
      </w:pPr>
      <w:r>
        <w:rPr>
          <w:rFonts w:ascii="Arial" w:hAnsi="Arial"/>
          <w:b/>
          <w:sz w:val="21"/>
        </w:rPr>
        <w:t xml:space="preserve">5. </w:t>
      </w:r>
      <w:r>
        <w:rPr>
          <w:rFonts w:ascii="Arial" w:hAnsi="Arial"/>
          <w:b/>
          <w:color w:val="1E1E1E"/>
          <w:sz w:val="21"/>
        </w:rPr>
        <w:t>Usage of Trade:</w:t>
      </w:r>
      <w:r>
        <w:rPr>
          <w:rFonts w:ascii="Arial" w:hAnsi="Arial"/>
          <w:color w:val="1E1E1E"/>
          <w:sz w:val="21"/>
        </w:rPr>
        <w:t xml:space="preserve"> An implied warranty or condition as to quality or fitness for a particular purpose may be annexed by the usage of trade.</w:t>
      </w:r>
    </w:p>
    <w:p>
      <w:pPr>
        <w:spacing w:before="40" w:after="100" w:line="276" w:lineRule="auto"/>
        <w:ind w:left="461" w:right="0" w:hanging="317"/>
        <w:jc w:val="left"/>
      </w:pPr>
      <w:r>
        <w:rPr>
          <w:rFonts w:ascii="Arial" w:hAnsi="Arial"/>
          <w:b/>
          <w:sz w:val="21"/>
        </w:rPr>
        <w:t xml:space="preserve">6. </w:t>
      </w:r>
      <w:r>
        <w:rPr>
          <w:rFonts w:ascii="Arial" w:hAnsi="Arial"/>
          <w:b/>
          <w:color w:val="1E1E1E"/>
          <w:sz w:val="21"/>
        </w:rPr>
        <w:t>Fraud or Misrepresentation:</w:t>
      </w:r>
      <w:r>
        <w:rPr>
          <w:rFonts w:ascii="Arial" w:hAnsi="Arial"/>
          <w:color w:val="1E1E1E"/>
          <w:sz w:val="21"/>
        </w:rPr>
        <w:t xml:space="preserve"> Where the seller actively conceals a defect or commits fraud, the doctrine does not apply.</w:t>
      </w:r>
    </w:p>
    <w:p>
      <w:pPr>
        <w:keepNext/>
        <w:spacing w:before="220" w:after="100" w:line="276" w:lineRule="auto"/>
        <w:ind w:left="0" w:right="0" w:firstLine="0"/>
        <w:jc w:val="left"/>
      </w:pPr>
      <w:r>
        <w:rPr>
          <w:rFonts w:ascii="Arial" w:hAnsi="Arial"/>
          <w:b/>
          <w:color w:val="111827"/>
          <w:sz w:val="25"/>
        </w:rPr>
        <w:t>Transfer of Property (Ownership)</w:t>
      </w:r>
    </w:p>
    <w:p>
      <w:pPr>
        <w:spacing w:before="40" w:after="120" w:line="276" w:lineRule="auto"/>
        <w:ind w:left="0" w:right="0" w:firstLine="0"/>
        <w:jc w:val="left"/>
      </w:pPr>
      <w:r>
        <w:rPr>
          <w:rFonts w:ascii="Arial" w:hAnsi="Arial"/>
          <w:color w:val="1E1E1E"/>
          <w:sz w:val="21"/>
        </w:rPr>
        <w:t xml:space="preserve">Determining the precise moment when property (ownership) passes from the seller to the buyer is critical because </w:t>
      </w:r>
      <w:r>
        <w:rPr>
          <w:rFonts w:ascii="Arial" w:hAnsi="Arial"/>
          <w:b/>
          <w:color w:val="1E1E1E"/>
          <w:sz w:val="21"/>
        </w:rPr>
        <w:t>risk follows ownership</w:t>
      </w:r>
      <w:r>
        <w:rPr>
          <w:rFonts w:ascii="Arial" w:hAnsi="Arial"/>
          <w:color w:val="1E1E1E"/>
          <w:sz w:val="21"/>
        </w:rPr>
        <w:t>.</w:t>
      </w:r>
    </w:p>
    <w:p>
      <w:pPr>
        <w:keepNext/>
        <w:spacing w:before="220" w:after="100" w:line="276" w:lineRule="auto"/>
        <w:ind w:left="0" w:right="0" w:firstLine="0"/>
        <w:jc w:val="left"/>
      </w:pPr>
      <w:r>
        <w:rPr>
          <w:rFonts w:ascii="Arial" w:hAnsi="Arial"/>
          <w:b/>
          <w:color w:val="111827"/>
          <w:sz w:val="25"/>
        </w:rPr>
        <w:t>1. Rules for Passing of Property in Specific or Ascertained Goods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Intention of the Parties (Sec. 19):</w:t>
      </w:r>
      <w:r>
        <w:rPr>
          <w:rFonts w:ascii="Arial" w:hAnsi="Arial"/>
          <w:color w:val="1E1E1E"/>
          <w:sz w:val="21"/>
        </w:rPr>
        <w:t xml:space="preserve"> Property passes when the parties intend it to pass, determined by the terms of the contract, the conduct of the parties, and the circumstances of the case.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Specific Goods in a Deliverable State (Sec. 20):</w:t>
      </w:r>
      <w:r>
        <w:rPr>
          <w:rFonts w:ascii="Arial" w:hAnsi="Arial"/>
          <w:color w:val="1E1E1E"/>
          <w:sz w:val="21"/>
        </w:rPr>
        <w:t xml:space="preserve"> Where there is an unambiguous contract for the sale of specific goods in a deliverable state, property passes to the buyer </w:t>
      </w:r>
      <w:r>
        <w:rPr>
          <w:rFonts w:ascii="Arial" w:hAnsi="Arial"/>
          <w:b/>
          <w:color w:val="1E1E1E"/>
          <w:sz w:val="21"/>
        </w:rPr>
        <w:t>when the contract is made</w:t>
      </w:r>
      <w:r>
        <w:rPr>
          <w:rFonts w:ascii="Arial" w:hAnsi="Arial"/>
          <w:color w:val="1E1E1E"/>
          <w:sz w:val="21"/>
        </w:rPr>
        <w:t>, regardless of whether payment or delivery has been postponed.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Specific Goods to be Put in a Deliverable State (Sec. 21):</w:t>
      </w:r>
      <w:r>
        <w:rPr>
          <w:rFonts w:ascii="Arial" w:hAnsi="Arial"/>
          <w:color w:val="1E1E1E"/>
          <w:sz w:val="21"/>
        </w:rPr>
        <w:t xml:space="preserve"> Where the seller is bound to do something to the goods to put them in a deliverable state, property does not pass </w:t>
      </w:r>
      <w:r>
        <w:rPr>
          <w:rFonts w:ascii="Arial" w:hAnsi="Arial"/>
          <w:b/>
          <w:color w:val="1E1E1E"/>
          <w:sz w:val="21"/>
        </w:rPr>
        <w:t>until such thing is done</w:t>
      </w:r>
      <w:r>
        <w:rPr>
          <w:rFonts w:ascii="Arial" w:hAnsi="Arial"/>
          <w:color w:val="1E1E1E"/>
          <w:sz w:val="21"/>
        </w:rPr>
        <w:t xml:space="preserve"> and the buyer has notice of it.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Specific Goods to be Weighed or Measured (Sec. 22):</w:t>
      </w:r>
      <w:r>
        <w:rPr>
          <w:rFonts w:ascii="Arial" w:hAnsi="Arial"/>
          <w:color w:val="1E1E1E"/>
          <w:sz w:val="21"/>
        </w:rPr>
        <w:t xml:space="preserve"> Where the seller is bound to weigh, measure, test, or do some other act or thing with reference to the goods for the purpose of ascertaining the price, property does not pass </w:t>
      </w:r>
      <w:r>
        <w:rPr>
          <w:rFonts w:ascii="Arial" w:hAnsi="Arial"/>
          <w:b/>
          <w:color w:val="1E1E1E"/>
          <w:sz w:val="21"/>
        </w:rPr>
        <w:t>until such act or thing is done</w:t>
      </w:r>
      <w:r>
        <w:rPr>
          <w:rFonts w:ascii="Arial" w:hAnsi="Arial"/>
          <w:color w:val="1E1E1E"/>
          <w:sz w:val="21"/>
        </w:rPr>
        <w:t xml:space="preserve"> and the buyer has notice of it.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Sale on Approval or "On Sale or Return" (Sec. 24):</w:t>
      </w:r>
      <w:r>
        <w:rPr>
          <w:rFonts w:ascii="Arial" w:hAnsi="Arial"/>
          <w:color w:val="1E1E1E"/>
          <w:sz w:val="21"/>
        </w:rPr>
        <w:t xml:space="preserve"> Property passes to the buyer when they signify their approval or acceptance to the seller, do any other act adopting the transaction, or retain the goods beyond the fixed/reasonable time without giving notice of rejection.</w:t>
      </w:r>
    </w:p>
    <w:p>
      <w:pPr>
        <w:keepNext/>
        <w:spacing w:before="220" w:after="100" w:line="276" w:lineRule="auto"/>
        <w:ind w:left="0" w:right="0" w:firstLine="0"/>
        <w:jc w:val="left"/>
      </w:pPr>
      <w:r>
        <w:rPr>
          <w:rFonts w:ascii="Arial" w:hAnsi="Arial"/>
          <w:b/>
          <w:color w:val="111827"/>
          <w:sz w:val="25"/>
        </w:rPr>
        <w:t>2. Passing of Property in Unascertained and Future Goods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Ascertainment and Appropriation (Sec. 23):</w:t>
      </w:r>
      <w:r>
        <w:rPr>
          <w:rFonts w:ascii="Arial" w:hAnsi="Arial"/>
          <w:color w:val="1E1E1E"/>
          <w:sz w:val="21"/>
        </w:rPr>
        <w:t xml:space="preserve"> In a contract for the sale of unascertained or future goods by description, property does not pass to the buyer </w:t>
      </w:r>
      <w:r>
        <w:rPr>
          <w:rFonts w:ascii="Arial" w:hAnsi="Arial"/>
          <w:b/>
          <w:color w:val="1E1E1E"/>
          <w:sz w:val="21"/>
        </w:rPr>
        <w:t>unless and until the goods are ascertained and unconditionally appropriated</w:t>
      </w:r>
      <w:r>
        <w:rPr>
          <w:rFonts w:ascii="Arial" w:hAnsi="Arial"/>
          <w:color w:val="1E1E1E"/>
          <w:sz w:val="21"/>
        </w:rPr>
        <w:t xml:space="preserve"> to the contract, with the assent of either the buyer or the seller.</w:t>
      </w:r>
    </w:p>
    <w:p>
      <w:pPr>
        <w:keepNext/>
        <w:spacing w:before="220" w:after="100" w:line="276" w:lineRule="auto"/>
        <w:ind w:left="0" w:right="0" w:firstLine="0"/>
        <w:jc w:val="left"/>
      </w:pPr>
      <w:r>
        <w:rPr>
          <w:rFonts w:ascii="Arial" w:hAnsi="Arial"/>
          <w:b/>
          <w:color w:val="111827"/>
          <w:sz w:val="25"/>
        </w:rPr>
        <w:t>Performance of the Contract of Sale</w:t>
      </w:r>
    </w:p>
    <w:p>
      <w:pPr>
        <w:spacing w:before="40" w:after="120" w:line="276" w:lineRule="auto"/>
        <w:ind w:left="0" w:right="0" w:firstLine="0"/>
        <w:jc w:val="left"/>
      </w:pPr>
      <w:r>
        <w:rPr>
          <w:rFonts w:ascii="Arial" w:hAnsi="Arial"/>
          <w:color w:val="1E1E1E"/>
          <w:sz w:val="21"/>
        </w:rPr>
        <w:t>The legal mechanics of fulfilling a contract center around delivery and payment.</w:t>
      </w:r>
    </w:p>
    <w:p>
      <w:pPr>
        <w:keepNext/>
        <w:spacing w:before="220" w:after="100" w:line="276" w:lineRule="auto"/>
        <w:ind w:left="0" w:right="0" w:firstLine="0"/>
        <w:jc w:val="left"/>
      </w:pPr>
      <w:r>
        <w:rPr>
          <w:rFonts w:ascii="Arial" w:hAnsi="Arial"/>
          <w:b/>
          <w:color w:val="111827"/>
          <w:sz w:val="25"/>
        </w:rPr>
        <w:t>1. Duties of Seller and Buyer (Sec. 31)</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It is the duty of the seller to deliver the goods and of the buyer to accept and pay for them, in accordance with the terms of the contract of sale.</w:t>
      </w:r>
    </w:p>
    <w:p>
      <w:pPr>
        <w:keepNext/>
        <w:spacing w:before="220" w:after="100" w:line="276" w:lineRule="auto"/>
        <w:ind w:left="0" w:right="0" w:firstLine="0"/>
        <w:jc w:val="left"/>
      </w:pPr>
      <w:r>
        <w:rPr>
          <w:rFonts w:ascii="Arial" w:hAnsi="Arial"/>
          <w:b/>
          <w:color w:val="111827"/>
          <w:sz w:val="25"/>
        </w:rPr>
        <w:t>2. Rules Regarding Delivery (Sec. 32 to 39)</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Delivery:</w:t>
      </w:r>
      <w:r>
        <w:rPr>
          <w:rFonts w:ascii="Arial" w:hAnsi="Arial"/>
          <w:color w:val="1E1E1E"/>
          <w:sz w:val="21"/>
        </w:rPr>
        <w:t xml:space="preserve"> Defined as the voluntary transfer of possession from one person to another (Sec. 2(2)). It can be </w:t>
      </w:r>
      <w:r>
        <w:rPr>
          <w:rFonts w:ascii="Arial" w:hAnsi="Arial"/>
          <w:b/>
          <w:color w:val="1E1E1E"/>
          <w:sz w:val="21"/>
        </w:rPr>
        <w:t>actual</w:t>
      </w:r>
      <w:r>
        <w:rPr>
          <w:rFonts w:ascii="Arial" w:hAnsi="Arial"/>
          <w:color w:val="1E1E1E"/>
          <w:sz w:val="21"/>
        </w:rPr>
        <w:t xml:space="preserve"> (physical handing over), </w:t>
      </w:r>
      <w:r>
        <w:rPr>
          <w:rFonts w:ascii="Arial" w:hAnsi="Arial"/>
          <w:b/>
          <w:color w:val="1E1E1E"/>
          <w:sz w:val="21"/>
        </w:rPr>
        <w:t>symbolic</w:t>
      </w:r>
      <w:r>
        <w:rPr>
          <w:rFonts w:ascii="Arial" w:hAnsi="Arial"/>
          <w:color w:val="1E1E1E"/>
          <w:sz w:val="21"/>
        </w:rPr>
        <w:t xml:space="preserve"> (handing over the key of a warehouse), or </w:t>
      </w:r>
      <w:r>
        <w:rPr>
          <w:rFonts w:ascii="Arial" w:hAnsi="Arial"/>
          <w:b/>
          <w:color w:val="1E1E1E"/>
          <w:sz w:val="21"/>
        </w:rPr>
        <w:t>constructive</w:t>
      </w:r>
      <w:r>
        <w:rPr>
          <w:rFonts w:ascii="Arial" w:hAnsi="Arial"/>
          <w:color w:val="1E1E1E"/>
          <w:sz w:val="21"/>
        </w:rPr>
        <w:t xml:space="preserve"> (attornment/acknowledgment by a third party holding the goods).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Payment and Delivery Concurrent:</w:t>
      </w:r>
      <w:r>
        <w:rPr>
          <w:rFonts w:ascii="Arial" w:hAnsi="Arial"/>
          <w:color w:val="1E1E1E"/>
          <w:sz w:val="21"/>
        </w:rPr>
        <w:t xml:space="preserve"> Unless otherwise agreed, delivery of the goods and payment of the price are concurrent conditions.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Effect of Part Delivery (Sec. 34):</w:t>
      </w:r>
      <w:r>
        <w:rPr>
          <w:rFonts w:ascii="Arial" w:hAnsi="Arial"/>
          <w:color w:val="1E1E1E"/>
          <w:sz w:val="21"/>
        </w:rPr>
        <w:t xml:space="preserve"> A delivery of part of goods in progress of the delivery of the whole has the same effect, for the purpose of passing property in such goods, as a delivery of the whole. However, part delivery of the goods generally does not pass property in the remainder unless it indicates an intention to sever the whole.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Rules on Wrongful Quantities (Sec. 37):</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If the seller delivers a quantity </w:t>
      </w:r>
      <w:r>
        <w:rPr>
          <w:rFonts w:ascii="Arial" w:hAnsi="Arial"/>
          <w:b/>
          <w:color w:val="1E1E1E"/>
          <w:sz w:val="21"/>
        </w:rPr>
        <w:t>less</w:t>
      </w:r>
      <w:r>
        <w:rPr>
          <w:rFonts w:ascii="Arial" w:hAnsi="Arial"/>
          <w:color w:val="1E1E1E"/>
          <w:sz w:val="21"/>
        </w:rPr>
        <w:t xml:space="preserve"> than contracted, the buyer may reject them; if accepted, they must pay for them at the contract rate.</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If the seller delivers a quantity </w:t>
      </w:r>
      <w:r>
        <w:rPr>
          <w:rFonts w:ascii="Arial" w:hAnsi="Arial"/>
          <w:b/>
          <w:color w:val="1E1E1E"/>
          <w:sz w:val="21"/>
        </w:rPr>
        <w:t>larger</w:t>
      </w:r>
      <w:r>
        <w:rPr>
          <w:rFonts w:ascii="Arial" w:hAnsi="Arial"/>
          <w:color w:val="1E1E1E"/>
          <w:sz w:val="21"/>
        </w:rPr>
        <w:t xml:space="preserve"> than contracted, the buyer may accept the goods included in the contract and reject the rest, or reject the whole, or accept the whole and pay for the extra goods at the contract rate.</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If the goods are mixed with goods of a different description, the buyer may accept the goods which are in accordance with the contract and reject the rest, or reject the whole.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Installment Deliveries (Sec. 38):</w:t>
      </w:r>
      <w:r>
        <w:rPr>
          <w:rFonts w:ascii="Arial" w:hAnsi="Arial"/>
          <w:color w:val="1E1E1E"/>
          <w:sz w:val="21"/>
        </w:rPr>
        <w:t xml:space="preserve"> Unless agreed, the buyer is not bound to accept delivery by installments.</w:t>
      </w:r>
    </w:p>
    <w:p>
      <w:pPr>
        <w:keepNext/>
        <w:spacing w:before="220" w:after="100" w:line="276" w:lineRule="auto"/>
        <w:ind w:left="0" w:right="0" w:firstLine="0"/>
        <w:jc w:val="left"/>
      </w:pPr>
      <w:r>
        <w:rPr>
          <w:rFonts w:ascii="Arial" w:hAnsi="Arial"/>
          <w:b/>
          <w:color w:val="111827"/>
          <w:sz w:val="25"/>
        </w:rPr>
        <w:t>Rights of an Unpaid Seller</w:t>
      </w:r>
    </w:p>
    <w:p>
      <w:pPr>
        <w:spacing w:before="40" w:after="120" w:line="276" w:lineRule="auto"/>
        <w:ind w:left="0" w:right="0" w:firstLine="0"/>
        <w:jc w:val="left"/>
      </w:pPr>
      <w:r>
        <w:rPr>
          <w:rFonts w:ascii="Arial" w:hAnsi="Arial"/>
          <w:color w:val="1E1E1E"/>
          <w:sz w:val="21"/>
        </w:rPr>
        <w:t>An "unpaid seller" holds powerful statutory remedies against both the goods and the buyer personally.</w:t>
      </w:r>
    </w:p>
    <w:p>
      <w:pPr>
        <w:keepNext/>
        <w:spacing w:before="220" w:after="100" w:line="276" w:lineRule="auto"/>
        <w:ind w:left="0" w:right="0" w:firstLine="0"/>
        <w:jc w:val="left"/>
      </w:pPr>
      <w:r>
        <w:rPr>
          <w:rFonts w:ascii="Arial" w:hAnsi="Arial"/>
          <w:b/>
          <w:color w:val="111827"/>
          <w:sz w:val="25"/>
        </w:rPr>
        <w:t>1. Who is an Unpaid Seller? (Sec. 45)</w:t>
      </w:r>
    </w:p>
    <w:p>
      <w:pPr>
        <w:spacing w:before="40" w:after="120" w:line="276" w:lineRule="auto"/>
        <w:ind w:left="0" w:right="0" w:firstLine="0"/>
        <w:jc w:val="left"/>
      </w:pPr>
      <w:r>
        <w:rPr>
          <w:rFonts w:ascii="Arial" w:hAnsi="Arial"/>
          <w:color w:val="1E1E1E"/>
          <w:sz w:val="21"/>
        </w:rPr>
        <w:t>A seller of goods is deemed to be an unpaid seller when:</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The whole of the price has not been paid or tendered; or</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 conditional payment was made by way of a negotiable instrument (like a bill of exchange or cheque), and the instrument has been dishonored due to conditions attached to its realization.</w:t>
      </w:r>
    </w:p>
    <w:p>
      <w:pPr>
        <w:keepNext/>
        <w:spacing w:before="220" w:after="100" w:line="276" w:lineRule="auto"/>
        <w:ind w:left="0" w:right="0" w:firstLine="0"/>
        <w:jc w:val="left"/>
      </w:pPr>
      <w:r>
        <w:rPr>
          <w:rFonts w:ascii="Arial" w:hAnsi="Arial"/>
          <w:b/>
          <w:color w:val="111827"/>
          <w:sz w:val="25"/>
        </w:rPr>
        <w:t>2. Rights Against the Goods</w:t>
      </w:r>
    </w:p>
    <w:p>
      <w:pPr>
        <w:spacing w:before="40" w:after="120" w:line="276" w:lineRule="auto"/>
        <w:ind w:left="0" w:right="0" w:firstLine="0"/>
        <w:jc w:val="left"/>
      </w:pPr>
      <w:r>
        <w:rPr>
          <w:rFonts w:ascii="Arial" w:hAnsi="Arial"/>
          <w:color w:val="1E1E1E"/>
          <w:sz w:val="21"/>
        </w:rPr>
        <w:t>An unpaid seller who is in possession of the goods has powerful real rights (rights *in rem*):</w:t>
      </w:r>
    </w:p>
    <w:p>
      <w:pPr>
        <w:keepNext/>
        <w:spacing w:before="180" w:after="60" w:line="276" w:lineRule="auto"/>
        <w:ind w:left="0" w:right="0" w:firstLine="0"/>
        <w:jc w:val="left"/>
      </w:pPr>
      <w:r>
        <w:rPr>
          <w:rFonts w:ascii="Arial" w:hAnsi="Arial"/>
          <w:b/>
          <w:color w:val="111827"/>
          <w:sz w:val="22"/>
        </w:rPr>
        <w:t>A. Right of Lien (Sec. 47 - 49)</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Meaning:</w:t>
      </w:r>
      <w:r>
        <w:rPr>
          <w:rFonts w:ascii="Arial" w:hAnsi="Arial"/>
          <w:color w:val="1E1E1E"/>
          <w:sz w:val="21"/>
        </w:rPr>
        <w:t xml:space="preserve"> The right to retain possession of the goods until payment or tender of the price.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Conditions:</w:t>
      </w:r>
      <w:r>
        <w:rPr>
          <w:rFonts w:ascii="Arial" w:hAnsi="Arial"/>
          <w:color w:val="1E1E1E"/>
          <w:sz w:val="21"/>
        </w:rPr>
        <w:t xml:space="preserve"> Available where goods have been sold without stipulating credit, where the term of credit has expired, or where the buyer becomes insolvent.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Termination of Lien:</w:t>
      </w:r>
      <w:r>
        <w:rPr>
          <w:rFonts w:ascii="Arial" w:hAnsi="Arial"/>
          <w:color w:val="1E1E1E"/>
          <w:sz w:val="21"/>
        </w:rPr>
        <w:t xml:space="preserve"> Lien is lost when the seller delivers the goods to a carrier or bailee for transmission to the buyer without reserving the right of disposal, when the buyer or their agent lawfully obtains possession, or by waiver.</w:t>
      </w:r>
    </w:p>
    <w:p>
      <w:pPr>
        <w:keepNext/>
        <w:spacing w:before="180" w:after="60" w:line="276" w:lineRule="auto"/>
        <w:ind w:left="0" w:right="0" w:firstLine="0"/>
        <w:jc w:val="left"/>
      </w:pPr>
      <w:r>
        <w:rPr>
          <w:rFonts w:ascii="Arial" w:hAnsi="Arial"/>
          <w:b/>
          <w:color w:val="111827"/>
          <w:sz w:val="22"/>
        </w:rPr>
        <w:t>B. Right of Stoppage in Transit (Sec. 50 - 52)</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Meaning:</w:t>
      </w:r>
      <w:r>
        <w:rPr>
          <w:rFonts w:ascii="Arial" w:hAnsi="Arial"/>
          <w:color w:val="1E1E1E"/>
          <w:sz w:val="21"/>
        </w:rPr>
        <w:t xml:space="preserve"> The right to stop goods while they are </w:t>
      </w:r>
      <w:r>
        <w:rPr>
          <w:rFonts w:ascii="Arial" w:hAnsi="Arial"/>
          <w:b/>
          <w:color w:val="1E1E1E"/>
          <w:sz w:val="21"/>
        </w:rPr>
        <w:t>in transit</w:t>
      </w:r>
      <w:r>
        <w:rPr>
          <w:rFonts w:ascii="Arial" w:hAnsi="Arial"/>
          <w:color w:val="1E1E1E"/>
          <w:sz w:val="21"/>
        </w:rPr>
        <w:t>, resume possession of them, and retain them until payment of the price.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Conditions:</w:t>
      </w:r>
      <w:r>
        <w:rPr>
          <w:rFonts w:ascii="Arial" w:hAnsi="Arial"/>
          <w:color w:val="1E1E1E"/>
          <w:sz w:val="21"/>
        </w:rPr>
        <w:t xml:space="preserve"> The buyer must become </w:t>
      </w:r>
      <w:r>
        <w:rPr>
          <w:rFonts w:ascii="Arial" w:hAnsi="Arial"/>
          <w:b/>
          <w:color w:val="1E1E1E"/>
          <w:sz w:val="21"/>
        </w:rPr>
        <w:t>insolvent</w:t>
      </w:r>
      <w:r>
        <w:rPr>
          <w:rFonts w:ascii="Arial" w:hAnsi="Arial"/>
          <w:color w:val="1E1E1E"/>
          <w:sz w:val="21"/>
        </w:rPr>
        <w:t xml:space="preserve">, and the goods must be </w:t>
      </w:r>
      <w:r>
        <w:rPr>
          <w:rFonts w:ascii="Arial" w:hAnsi="Arial"/>
          <w:b/>
          <w:color w:val="1E1E1E"/>
          <w:sz w:val="21"/>
        </w:rPr>
        <w:t>in transit</w:t>
      </w:r>
      <w:r>
        <w:rPr>
          <w:rFonts w:ascii="Arial" w:hAnsi="Arial"/>
          <w:color w:val="1E1E1E"/>
          <w:sz w:val="21"/>
        </w:rPr>
        <w:t xml:space="preserve"> (i.e., between the time they leave the seller's possession and reach the buyer's possession).</w:t>
      </w:r>
    </w:p>
    <w:p>
      <w:pPr>
        <w:keepNext/>
        <w:spacing w:before="180" w:after="60" w:line="276" w:lineRule="auto"/>
        <w:ind w:left="0" w:right="0" w:firstLine="0"/>
        <w:jc w:val="left"/>
      </w:pPr>
      <w:r>
        <w:rPr>
          <w:rFonts w:ascii="Arial" w:hAnsi="Arial"/>
          <w:b/>
          <w:color w:val="111827"/>
          <w:sz w:val="22"/>
        </w:rPr>
        <w:t>C. Right of Resale (Sec. 54)</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An unpaid seller can resell the goods if the goods are of a perishable nature, or if they give notice to the buyer of their intention to resell and the buyer does not within a reasonable time pay or tender the price.</w:t>
      </w:r>
    </w:p>
    <w:p>
      <w:pPr>
        <w:keepNext/>
        <w:spacing w:before="220" w:after="100" w:line="276" w:lineRule="auto"/>
        <w:ind w:left="0" w:right="0" w:firstLine="0"/>
        <w:jc w:val="left"/>
      </w:pPr>
      <w:r>
        <w:rPr>
          <w:rFonts w:ascii="Arial" w:hAnsi="Arial"/>
          <w:b/>
          <w:color w:val="111827"/>
          <w:sz w:val="25"/>
        </w:rPr>
        <w:t>3. Rights Against the Buyer Personally</w:t>
      </w:r>
    </w:p>
    <w:p>
      <w:pPr>
        <w:spacing w:before="40" w:after="120" w:line="276" w:lineRule="auto"/>
        <w:ind w:left="0" w:right="0" w:firstLine="0"/>
        <w:jc w:val="left"/>
      </w:pPr>
      <w:r>
        <w:rPr>
          <w:rFonts w:ascii="Arial" w:hAnsi="Arial"/>
          <w:color w:val="1E1E1E"/>
          <w:sz w:val="21"/>
        </w:rPr>
        <w:t>An unpaid seller also holds personal rights (*in personam*) to sue the buyer: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Suit for Price (Sec. 55):</w:t>
      </w:r>
      <w:r>
        <w:rPr>
          <w:rFonts w:ascii="Arial" w:hAnsi="Arial"/>
          <w:color w:val="1E1E1E"/>
          <w:sz w:val="21"/>
        </w:rPr>
        <w:t xml:space="preserve"> If property has passed and the buyer wrongfully neglects or refuses to pay, the seller can sue for the price.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Suit for Damages for Non-Acceptance (Sec. 56):</w:t>
      </w:r>
      <w:r>
        <w:rPr>
          <w:rFonts w:ascii="Arial" w:hAnsi="Arial"/>
          <w:color w:val="1E1E1E"/>
          <w:sz w:val="21"/>
        </w:rPr>
        <w:t xml:space="preserve"> If the buyer wrongfully neglects or refuses to accept and pay for the goods, the seller can sue for non-acceptance damages.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Suit for Interest/Special Damages (Sec. 61):</w:t>
      </w:r>
      <w:r>
        <w:rPr>
          <w:rFonts w:ascii="Arial" w:hAnsi="Arial"/>
          <w:color w:val="1E1E1E"/>
          <w:sz w:val="21"/>
        </w:rPr>
        <w:t xml:space="preserve"> The seller can recover interest or special damages in cases of breach where permitted by law.</w:t>
      </w:r>
    </w:p>
    <w:p>
      <w:pPr>
        <w:keepNext/>
        <w:spacing w:before="220" w:after="100" w:line="276" w:lineRule="auto"/>
        <w:ind w:left="0" w:right="0" w:firstLine="0"/>
        <w:jc w:val="left"/>
      </w:pPr>
      <w:r>
        <w:rPr>
          <w:rFonts w:ascii="Arial" w:hAnsi="Arial"/>
          <w:b/>
          <w:color w:val="111827"/>
          <w:sz w:val="25"/>
        </w:rPr>
        <w:t>Breach of Contract and Remedies</w:t>
      </w:r>
    </w:p>
    <w:p>
      <w:pPr>
        <w:spacing w:before="40" w:after="120" w:line="276" w:lineRule="auto"/>
        <w:ind w:left="0" w:right="0" w:firstLine="0"/>
        <w:jc w:val="left"/>
      </w:pPr>
      <w:r>
        <w:rPr>
          <w:rFonts w:ascii="Arial" w:hAnsi="Arial"/>
          <w:color w:val="1E1E1E"/>
          <w:sz w:val="21"/>
        </w:rPr>
        <w:t>Both buyers and sellers have legal remedies when the other party defaults.</w:t>
      </w:r>
    </w:p>
    <w:p>
      <w:pPr>
        <w:keepNext/>
        <w:spacing w:before="220" w:after="100" w:line="276" w:lineRule="auto"/>
        <w:ind w:left="0" w:right="0" w:firstLine="0"/>
        <w:jc w:val="left"/>
      </w:pPr>
      <w:r>
        <w:rPr>
          <w:rFonts w:ascii="Arial" w:hAnsi="Arial"/>
          <w:b/>
          <w:color w:val="111827"/>
          <w:sz w:val="25"/>
        </w:rPr>
        <w:t>Remedies of the Buyer</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Suit for Damages for Non-Delivery (Sec. 57):</w:t>
      </w:r>
      <w:r>
        <w:rPr>
          <w:rFonts w:ascii="Arial" w:hAnsi="Arial"/>
          <w:color w:val="1E1E1E"/>
          <w:sz w:val="21"/>
        </w:rPr>
        <w:t xml:space="preserve"> If the seller wrongfully neglects or refuses to deliver the goods.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Suit for Specific Performance (Sec. 58):</w:t>
      </w:r>
      <w:r>
        <w:rPr>
          <w:rFonts w:ascii="Arial" w:hAnsi="Arial"/>
          <w:color w:val="1E1E1E"/>
          <w:sz w:val="21"/>
        </w:rPr>
        <w:t xml:space="preserve"> In any suit for breach of contract to deliver specific or ascertained goods, the court may direct that the contract shall be performed specifically (usually granted for rare or unique goods where damages are inadequate compensation).</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Suit for Breach of Warranty (Sec. 59):</w:t>
      </w:r>
      <w:r>
        <w:rPr>
          <w:rFonts w:ascii="Arial" w:hAnsi="Arial"/>
          <w:color w:val="1E1E1E"/>
          <w:sz w:val="21"/>
        </w:rPr>
        <w:t xml:space="preserve"> Where there is a breach of warranty by the seller, the buyer may elect to set up the breach in diminution or extinction of the price, or sue the seller for damages.</w:t>
      </w:r>
    </w:p>
    <w:p>
      <w:pPr>
        <w:spacing w:before="40" w:after="100" w:line="276" w:lineRule="auto"/>
        <w:ind w:left="461" w:right="0" w:hanging="317"/>
        <w:jc w:val="left"/>
      </w:pPr>
      <w:r>
        <w:rPr>
          <w:rFonts w:ascii="Arial" w:hAnsi="Arial"/>
          <w:b/>
          <w:sz w:val="21"/>
        </w:rPr>
        <w:t xml:space="preserve">4. </w:t>
      </w:r>
      <w:r>
        <w:rPr>
          <w:rFonts w:ascii="Arial" w:hAnsi="Arial"/>
          <w:b/>
          <w:color w:val="1E1E1E"/>
          <w:sz w:val="21"/>
        </w:rPr>
        <w:t>Repudiation Before Due Date (Anticipatory Breach - Sec. 60):</w:t>
      </w:r>
      <w:r>
        <w:rPr>
          <w:rFonts w:ascii="Arial" w:hAnsi="Arial"/>
          <w:color w:val="1E1E1E"/>
          <w:sz w:val="21"/>
        </w:rPr>
        <w:t xml:space="preserve"> If either party repudiates the contract before the date of delivery, the other may either treat the contract as subsisting and wait till the due date, or treat it as rescinded and sue for damages immediately.</w:t>
      </w:r>
    </w:p>
    <w:p>
      <w:pPr>
        <w:spacing w:before="40" w:after="100" w:line="276" w:lineRule="auto"/>
        <w:ind w:left="461" w:right="0" w:hanging="317"/>
        <w:jc w:val="left"/>
      </w:pPr>
      <w:r>
        <w:rPr>
          <w:rFonts w:ascii="Arial" w:hAnsi="Arial"/>
          <w:b/>
          <w:sz w:val="21"/>
        </w:rPr>
        <w:t xml:space="preserve">5. </w:t>
      </w:r>
      <w:r>
        <w:rPr>
          <w:rFonts w:ascii="Arial" w:hAnsi="Arial"/>
          <w:b/>
          <w:color w:val="1E1E1E"/>
          <w:sz w:val="21"/>
        </w:rPr>
        <w:t>Suit for Interest:</w:t>
      </w:r>
      <w:r>
        <w:rPr>
          <w:rFonts w:ascii="Arial" w:hAnsi="Arial"/>
          <w:color w:val="1E1E1E"/>
          <w:sz w:val="21"/>
        </w:rPr>
        <w:t xml:space="preserve"> For recovery of price under refund scenarios along with interest.</w:t>
      </w:r>
    </w:p>
    <w:p>
      <w:pPr>
        <w:keepNext/>
        <w:spacing w:before="220" w:after="100" w:line="276" w:lineRule="auto"/>
        <w:ind w:left="0" w:right="0" w:firstLine="0"/>
        <w:jc w:val="left"/>
      </w:pPr>
      <w:r>
        <w:rPr>
          <w:rFonts w:ascii="Arial" w:hAnsi="Arial"/>
          <w:b/>
          <w:color w:val="111827"/>
          <w:sz w:val="25"/>
        </w:rPr>
        <w:t>Summary and Conclusion</w:t>
      </w:r>
    </w:p>
    <w:p>
      <w:pPr>
        <w:spacing w:before="40" w:after="120" w:line="276" w:lineRule="auto"/>
        <w:ind w:left="0" w:right="0" w:firstLine="0"/>
        <w:jc w:val="left"/>
      </w:pPr>
      <w:r>
        <w:rPr>
          <w:rFonts w:ascii="Arial" w:hAnsi="Arial"/>
          <w:color w:val="1E1E1E"/>
          <w:sz w:val="21"/>
        </w:rPr>
        <w:t xml:space="preserve">The </w:t>
      </w:r>
      <w:r>
        <w:rPr>
          <w:rFonts w:ascii="Arial" w:hAnsi="Arial"/>
          <w:b/>
          <w:color w:val="1E1E1E"/>
          <w:sz w:val="21"/>
        </w:rPr>
        <w:t>Sale of Goods Act, 1930</w:t>
      </w:r>
      <w:r>
        <w:rPr>
          <w:rFonts w:ascii="Arial" w:hAnsi="Arial"/>
          <w:color w:val="1E1E1E"/>
          <w:sz w:val="21"/>
        </w:rPr>
        <w:t xml:space="preserve"> provides a robust, predictable, and fair legal framework for commercial transactions involving movable property in India. By clearly delineating between a *sale* and an *agreement to sell*, establishing comprehensive rules for the *transfer of ownership and risk*, codifying *conditions and warranties* (alongside the classic exception-laden rule of *Caveat Emptor*), and arming *unpaid sellers* with formidable rights against goods and buyers alike, the legislation bridges the gap between commercial freedom and legal security. It continues to safeguard commercial interactions, minimizing disputes and ensuring transparent trade practices across the marketplace.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