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10</w:t>
      </w:r>
    </w:p>
    <w:p>
      <w:pPr>
        <w:spacing w:before="0" w:after="240" w:line="288" w:lineRule="auto"/>
        <w:ind w:left="0" w:right="0" w:firstLine="0"/>
        <w:jc w:val="left"/>
        <w:pBdr>
          <w:bottom w:val="single" w:sz="6" w:space="6" w:color="D0D5DD"/>
        </w:pBdr>
      </w:pPr>
      <w:r>
        <w:rPr>
          <w:rFonts w:ascii="Arial" w:hAnsi="Arial"/>
          <w:b/>
          <w:color w:val="111827"/>
          <w:sz w:val="23"/>
        </w:rPr>
        <w:t>Discuss the ethical implications of emerging technologies (e.g., AI, big data, genetic engineering) in business. How can companies ensure ethical use of these technologies?</w:t>
      </w:r>
    </w:p>
    <w:p>
      <w:pPr>
        <w:spacing w:before="40" w:after="120" w:line="276" w:lineRule="auto"/>
        <w:ind w:left="0" w:right="0" w:firstLine="0"/>
        <w:jc w:val="left"/>
      </w:pPr>
      <w:r>
        <w:rPr>
          <w:rFonts w:ascii="Arial" w:hAnsi="Arial"/>
          <w:color w:val="1E1E1E"/>
          <w:sz w:val="21"/>
        </w:rPr>
        <w:t>Digital ethics in the context of emerging technologies refers to the systematic study of the moral obligations, rights, and societal impacts arising from the integration of autonomous systems, data-driven analytics, and biotechnological interventions within commercial environments. As defined by Floridi (2019), this field necessitates a shift from traditional anthropocentric ethics toward an information-based framework that evaluates the "onlife" consequences of digital agency, privacy, and systemic bias. It posits that the deployment of disruptive technologies is not a value-neutral act but a transformative intervention that reshapes human autonomy and organizational accountability.</w:t>
      </w:r>
    </w:p>
    <w:p>
      <w:pPr>
        <w:spacing w:before="40" w:after="120" w:line="276" w:lineRule="auto"/>
        <w:ind w:left="0" w:right="0" w:firstLine="0"/>
        <w:jc w:val="left"/>
      </w:pPr>
      <w:r>
        <w:rPr>
          <w:rFonts w:ascii="Arial" w:hAnsi="Arial"/>
          <w:color w:val="1E1E1E"/>
          <w:sz w:val="21"/>
        </w:rPr>
        <w:t>In practice, this operational reality requires organizations to transcend mere regulatory compliance by embedding ethical considerations into the lifecycle of technological development. Companies must reconcile the pursuit of competitive advantage—often driven by efficiency and predictive accuracy—with the imperative to mitigate potential harms like algorithmic discrimination or the erosion of consumer agency. This involves establishing governance structures that prioritize transparency, explainability, and human-in-the-loop oversight to ensure that technological utility does not supersede fundamental human rights.</w:t>
      </w:r>
    </w:p>
    <w:p>
      <w:pPr>
        <w:keepNext/>
        <w:spacing w:before="220" w:after="100" w:line="276" w:lineRule="auto"/>
        <w:ind w:left="0" w:right="0" w:firstLine="0"/>
        <w:jc w:val="left"/>
      </w:pPr>
      <w:r>
        <w:rPr>
          <w:rFonts w:ascii="Arial" w:hAnsi="Arial"/>
          <w:b/>
          <w:color w:val="111827"/>
          <w:sz w:val="25"/>
        </w:rPr>
        <w:t>Core Pillars of Digital Ethics in Business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Algorithmic Accountability:</w:t>
      </w:r>
      <w:r>
        <w:rPr>
          <w:rFonts w:ascii="Arial" w:hAnsi="Arial"/>
          <w:color w:val="1E1E1E"/>
          <w:sz w:val="21"/>
        </w:rPr>
        <w:t xml:space="preserve"> This pillar mandates that firms accept responsibility for the outcomes generated by automated decision-making systems, ensuring that models are auditable and free from systemic bias. Organizations must move beyond the "black box" phenomenon by documenting the training data provenance and the logic underlying predictive outputs, thereby providing pathways for recourse when automated systems negatively impact stakeholders.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Data Stewardship and Privacy:</w:t>
      </w:r>
      <w:r>
        <w:rPr>
          <w:rFonts w:ascii="Arial" w:hAnsi="Arial"/>
          <w:color w:val="1E1E1E"/>
          <w:sz w:val="21"/>
        </w:rPr>
        <w:t xml:space="preserve"> Beyond the legal requirements of data protection acts, this pillar emphasizes the moral duty to treat consumer information as an asset held in trust rather than a commodity to be exploited. It necessitates the implementation of privacy-by-design architectures, where data minimization, encryption, and granular consent mechanisms are integrated as default features rather than reactive measures to security breaches.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Biotechnological Integrity:</w:t>
      </w:r>
      <w:r>
        <w:rPr>
          <w:rFonts w:ascii="Arial" w:hAnsi="Arial"/>
          <w:color w:val="1E1E1E"/>
          <w:sz w:val="21"/>
        </w:rPr>
        <w:t xml:space="preserve"> In the realm of genetic engineering and human enhancement, this pillar addresses the ethical boundaries of altering biological data or physical capabilities for commercial gain. It requires businesses to navigate the profound risks of genetic discrimination and the potential for creating socioeconomic divides based on biological modifications, demanding a precautionary approach that respects the sanctity of human autonomy.</w:t>
      </w:r>
    </w:p>
    <w:p>
      <w:pPr>
        <w:keepNext/>
        <w:spacing w:before="220" w:after="100" w:line="276" w:lineRule="auto"/>
        <w:ind w:left="0" w:right="0" w:firstLine="0"/>
        <w:jc w:val="left"/>
      </w:pPr>
      <w:r>
        <w:rPr>
          <w:rFonts w:ascii="Arial" w:hAnsi="Arial"/>
          <w:b/>
          <w:color w:val="111827"/>
          <w:sz w:val="25"/>
        </w:rPr>
        <w:t>Importance of Digital Ethics in Contemporary Business</w:t>
      </w:r>
    </w:p>
    <w:p>
      <w:pPr>
        <w:spacing w:before="40" w:after="120" w:line="276" w:lineRule="auto"/>
        <w:ind w:left="0" w:right="0" w:firstLine="0"/>
        <w:jc w:val="left"/>
      </w:pPr>
      <w:r>
        <w:rPr>
          <w:rFonts w:ascii="Arial" w:hAnsi="Arial"/>
          <w:color w:val="1E1E1E"/>
          <w:sz w:val="21"/>
        </w:rPr>
        <w:t>The strategic integration of ethical frameworks is essential for sustaining long-term organizational viability: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Brand Equity and Consumer Trust:</w:t>
      </w:r>
      <w:r>
        <w:rPr>
          <w:rFonts w:ascii="Arial" w:hAnsi="Arial"/>
          <w:color w:val="1E1E1E"/>
          <w:sz w:val="21"/>
        </w:rPr>
        <w:t xml:space="preserve"> Companies that proactively address ethical concerns avoid the reputational damage associated with data scandals or discriminatory AI, fostering deep, long-term loyalty. For example, Apple has successfully leveraged its privacy-first stance as a core brand differentiator in a market saturated by surveillance-based advertising models.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Regulatory De-risking:</w:t>
      </w:r>
      <w:r>
        <w:rPr>
          <w:rFonts w:ascii="Arial" w:hAnsi="Arial"/>
          <w:color w:val="1E1E1E"/>
          <w:sz w:val="21"/>
        </w:rPr>
        <w:t xml:space="preserve"> By adopting rigorous internal ethics standards, firms stay ahead of evolving global legislations such as the EU AI Act or GDPR, preventing costly litigation and operational disruptions. Microsoft’s early investment in internal AI ethics boards has allowed the firm to navigate complex regulatory landscapes while maintaining a steady pace of innovation.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Talent Acquisition and Retention:</w:t>
      </w:r>
      <w:r>
        <w:rPr>
          <w:rFonts w:ascii="Arial" w:hAnsi="Arial"/>
          <w:color w:val="1E1E1E"/>
          <w:sz w:val="21"/>
        </w:rPr>
        <w:t xml:space="preserve"> High-performing professionals are increasingly drawn to organizations that demonstrate a commitment to social responsibility and ethical technological application. Google’s internal debates regarding Project Maven illustrate how employee activism can force corporations to align their technological contracts with stated ethical principles to maintain staff morale.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Operational Resilience:</w:t>
      </w:r>
      <w:r>
        <w:rPr>
          <w:rFonts w:ascii="Arial" w:hAnsi="Arial"/>
          <w:color w:val="1E1E1E"/>
          <w:sz w:val="21"/>
        </w:rPr>
        <w:t xml:space="preserve"> Ethical technology deployment minimizes the risk of systemic failures caused by biased data or poor model interpretability, which can lead to significant financial losses. Financial institutions like JPMorgan Chase utilize rigorous model risk management frameworks to ensure that their predictive trading algorithms remain stable and aligned with broader market integrity standards.</w:t>
      </w:r>
    </w:p>
    <w:p>
      <w:pPr>
        <w:keepNext/>
        <w:spacing w:before="220" w:after="100" w:line="276" w:lineRule="auto"/>
        <w:ind w:left="0" w:right="0" w:firstLine="0"/>
        <w:jc w:val="left"/>
      </w:pPr>
      <w:r>
        <w:rPr>
          <w:rFonts w:ascii="Arial" w:hAnsi="Arial"/>
          <w:b/>
          <w:color w:val="111827"/>
          <w:sz w:val="25"/>
        </w:rPr>
        <w:t>Comparative Analysis: Ethical Frameworks in Technology</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Utilitarianism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Deontology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Virtue Ethics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Care Ethics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Maximize aggregate benefit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Adhere to moral duties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Develop organizational character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Foster human relationships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Decision Driver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Cost-benefit analysis outcomes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Absolute rules and laws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Integrity-based leadership traits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Empathetic stakeholder impact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Tech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Efficiency and optimization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Compliance and rights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Ethical corporate culture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Protecting vulnerable users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Main Limitation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Risks minoritizing individuals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Can be overly rigid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Lacks concrete metrics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Difficult to scale globally</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Digital Ethics Within Organizations</w:t>
      </w:r>
    </w:p>
    <w:p>
      <w:pPr>
        <w:spacing w:before="40" w:after="120" w:line="276" w:lineRule="auto"/>
        <w:ind w:left="0" w:right="0" w:firstLine="0"/>
        <w:jc w:val="left"/>
      </w:pPr>
      <w:r>
        <w:rPr>
          <w:rFonts w:ascii="Arial" w:hAnsi="Arial"/>
          <w:color w:val="1E1E1E"/>
          <w:sz w:val="21"/>
        </w:rPr>
        <w:t>The successful integration of ethics requires a multi-layered approach to governance and culture:</w:t>
      </w:r>
    </w:p>
    <w:p>
      <w:pPr>
        <w:keepNext/>
        <w:spacing w:before="180" w:after="60" w:line="276" w:lineRule="auto"/>
        <w:ind w:left="0" w:right="0" w:firstLine="0"/>
        <w:jc w:val="left"/>
      </w:pPr>
      <w:r>
        <w:rPr>
          <w:rFonts w:ascii="Arial" w:hAnsi="Arial"/>
          <w:b/>
          <w:color w:val="111827"/>
          <w:sz w:val="22"/>
        </w:rPr>
        <w:t>1. Establishing Ethical Governance Boards</w:t>
      </w:r>
    </w:p>
    <w:p>
      <w:pPr>
        <w:spacing w:before="40" w:after="120" w:line="276" w:lineRule="auto"/>
        <w:ind w:left="0" w:right="0" w:firstLine="0"/>
        <w:jc w:val="left"/>
      </w:pPr>
      <w:r>
        <w:rPr>
          <w:rFonts w:ascii="Arial" w:hAnsi="Arial"/>
          <w:color w:val="1E1E1E"/>
          <w:sz w:val="21"/>
        </w:rPr>
        <w:t>Leaders must create dedicated oversight bodies that possess both the technical expertise and the moral authority to challenge product roadmaps.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Representation:</w:t>
      </w:r>
      <w:r>
        <w:rPr>
          <w:rFonts w:ascii="Arial" w:hAnsi="Arial"/>
          <w:color w:val="1E1E1E"/>
          <w:sz w:val="21"/>
        </w:rPr>
        <w:t xml:space="preserve"> Include legal, engineering, and sociology experts to ensure holistic evaluations of technology.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Veto Power:</w:t>
      </w:r>
      <w:r>
        <w:rPr>
          <w:rFonts w:ascii="Arial" w:hAnsi="Arial"/>
          <w:color w:val="1E1E1E"/>
          <w:sz w:val="21"/>
        </w:rPr>
        <w:t xml:space="preserve"> Grant the ethics board the authority to delay or halt projects that fail to meet established safety benchmarks.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Regular Auditing:</w:t>
      </w:r>
      <w:r>
        <w:rPr>
          <w:rFonts w:ascii="Arial" w:hAnsi="Arial"/>
          <w:color w:val="1E1E1E"/>
          <w:sz w:val="21"/>
        </w:rPr>
        <w:t xml:space="preserve"> Mandate quarterly reviews of all high-risk automated systems to identify drift or bias.</w:t>
      </w:r>
    </w:p>
    <w:p>
      <w:pPr>
        <w:keepNext/>
        <w:spacing w:before="180" w:after="60" w:line="276" w:lineRule="auto"/>
        <w:ind w:left="0" w:right="0" w:firstLine="0"/>
        <w:jc w:val="left"/>
      </w:pPr>
      <w:r>
        <w:rPr>
          <w:rFonts w:ascii="Arial" w:hAnsi="Arial"/>
          <w:b/>
          <w:color w:val="111827"/>
          <w:sz w:val="22"/>
        </w:rPr>
        <w:t>2. Implementing Privacy-by-Design</w:t>
      </w:r>
    </w:p>
    <w:p>
      <w:pPr>
        <w:spacing w:before="40" w:after="120" w:line="276" w:lineRule="auto"/>
        <w:ind w:left="0" w:right="0" w:firstLine="0"/>
        <w:jc w:val="left"/>
      </w:pPr>
      <w:r>
        <w:rPr>
          <w:rFonts w:ascii="Arial" w:hAnsi="Arial"/>
          <w:color w:val="1E1E1E"/>
          <w:sz w:val="21"/>
        </w:rPr>
        <w:t>Organizations should embed protective measures directly into the software architecture during the initial development phase.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Minimization:</w:t>
      </w:r>
      <w:r>
        <w:rPr>
          <w:rFonts w:ascii="Arial" w:hAnsi="Arial"/>
          <w:color w:val="1E1E1E"/>
          <w:sz w:val="21"/>
        </w:rPr>
        <w:t xml:space="preserve"> Enforce strict protocols that only collect the minimum amount of data required for specific functions.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Anonymization Protocols:</w:t>
      </w:r>
      <w:r>
        <w:rPr>
          <w:rFonts w:ascii="Arial" w:hAnsi="Arial"/>
          <w:color w:val="1E1E1E"/>
          <w:sz w:val="21"/>
        </w:rPr>
        <w:t xml:space="preserve"> Utilize advanced techniques like differential privacy to ensure individual identities remain protected during analysis.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Default Settings:</w:t>
      </w:r>
      <w:r>
        <w:rPr>
          <w:rFonts w:ascii="Arial" w:hAnsi="Arial"/>
          <w:color w:val="1E1E1E"/>
          <w:sz w:val="21"/>
        </w:rPr>
        <w:t xml:space="preserve"> Configure all user interfaces to prioritize maximum privacy settings rather than opting users into data sharing.</w:t>
      </w:r>
    </w:p>
    <w:p>
      <w:pPr>
        <w:keepNext/>
        <w:spacing w:before="180" w:after="60" w:line="276" w:lineRule="auto"/>
        <w:ind w:left="0" w:right="0" w:firstLine="0"/>
        <w:jc w:val="left"/>
      </w:pPr>
      <w:r>
        <w:rPr>
          <w:rFonts w:ascii="Arial" w:hAnsi="Arial"/>
          <w:b/>
          <w:color w:val="111827"/>
          <w:sz w:val="22"/>
        </w:rPr>
        <w:t>3. Enhancing Algorithmic Transparency</w:t>
      </w:r>
    </w:p>
    <w:p>
      <w:pPr>
        <w:spacing w:before="40" w:after="120" w:line="276" w:lineRule="auto"/>
        <w:ind w:left="0" w:right="0" w:firstLine="0"/>
        <w:jc w:val="left"/>
      </w:pPr>
      <w:r>
        <w:rPr>
          <w:rFonts w:ascii="Arial" w:hAnsi="Arial"/>
          <w:color w:val="1E1E1E"/>
          <w:sz w:val="21"/>
        </w:rPr>
        <w:t>Companies must demystify their decision-making processes for both internal stakeholders and end-users.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Explainability Tools:</w:t>
      </w:r>
      <w:r>
        <w:rPr>
          <w:rFonts w:ascii="Arial" w:hAnsi="Arial"/>
          <w:color w:val="1E1E1E"/>
          <w:sz w:val="21"/>
        </w:rPr>
        <w:t xml:space="preserve"> Employ techniques such as SHAP or LIME to provide clear justifications for AI-driven outcomes.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Public Reporting:</w:t>
      </w:r>
      <w:r>
        <w:rPr>
          <w:rFonts w:ascii="Arial" w:hAnsi="Arial"/>
          <w:color w:val="1E1E1E"/>
          <w:sz w:val="21"/>
        </w:rPr>
        <w:t xml:space="preserve"> Publish annual transparency reports detailing the use of automated systems and any identified bias mitigation efforts.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User Recourse:</w:t>
      </w:r>
      <w:r>
        <w:rPr>
          <w:rFonts w:ascii="Arial" w:hAnsi="Arial"/>
          <w:color w:val="1E1E1E"/>
          <w:sz w:val="21"/>
        </w:rPr>
        <w:t xml:space="preserve"> Provide accessible channels for users to challenge or appeal decisions made by automated systems.</w:t>
      </w:r>
    </w:p>
    <w:p>
      <w:pPr>
        <w:keepNext/>
        <w:spacing w:before="180" w:after="60" w:line="276" w:lineRule="auto"/>
        <w:ind w:left="0" w:right="0" w:firstLine="0"/>
        <w:jc w:val="left"/>
      </w:pPr>
      <w:r>
        <w:rPr>
          <w:rFonts w:ascii="Arial" w:hAnsi="Arial"/>
          <w:b/>
          <w:color w:val="111827"/>
          <w:sz w:val="22"/>
        </w:rPr>
        <w:t>4. Cultivating an Ethical Corporate Culture</w:t>
      </w:r>
    </w:p>
    <w:p>
      <w:pPr>
        <w:spacing w:before="40" w:after="120" w:line="276" w:lineRule="auto"/>
        <w:ind w:left="0" w:right="0" w:firstLine="0"/>
        <w:jc w:val="left"/>
      </w:pPr>
      <w:r>
        <w:rPr>
          <w:rFonts w:ascii="Arial" w:hAnsi="Arial"/>
          <w:color w:val="1E1E1E"/>
          <w:sz w:val="21"/>
        </w:rPr>
        <w:t>The leadership team must actively promote an environment where ethical considerations are valued as highly as innovation.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Continuous Education:</w:t>
      </w:r>
      <w:r>
        <w:rPr>
          <w:rFonts w:ascii="Arial" w:hAnsi="Arial"/>
          <w:color w:val="1E1E1E"/>
          <w:sz w:val="21"/>
        </w:rPr>
        <w:t xml:space="preserve"> Provide mandatory training for developers and managers on the unintended consequences of emerging technologies.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Incentive Alignment:</w:t>
      </w:r>
      <w:r>
        <w:rPr>
          <w:rFonts w:ascii="Arial" w:hAnsi="Arial"/>
          <w:color w:val="1E1E1E"/>
          <w:sz w:val="21"/>
        </w:rPr>
        <w:t xml:space="preserve"> Adjust performance metrics to reward ethical risk mitigation alongside traditional productivity KPIs.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Whistleblower Protection:</w:t>
      </w:r>
      <w:r>
        <w:rPr>
          <w:rFonts w:ascii="Arial" w:hAnsi="Arial"/>
          <w:color w:val="1E1E1E"/>
          <w:sz w:val="21"/>
        </w:rPr>
        <w:t xml:space="preserve"> Develop robust, anonymous channels for employees to report ethical lapses without fear of professional retaliation.</w:t>
      </w:r>
    </w:p>
    <w:p>
      <w:pPr>
        <w:keepNext/>
        <w:spacing w:before="180" w:after="60" w:line="276" w:lineRule="auto"/>
        <w:ind w:left="0" w:right="0" w:firstLine="0"/>
        <w:jc w:val="left"/>
      </w:pPr>
      <w:r>
        <w:rPr>
          <w:rFonts w:ascii="Arial" w:hAnsi="Arial"/>
          <w:b/>
          <w:color w:val="111827"/>
          <w:sz w:val="22"/>
        </w:rPr>
        <w:t>5. Engaging in Multistakeholder Dialogue</w:t>
      </w:r>
    </w:p>
    <w:p>
      <w:pPr>
        <w:spacing w:before="40" w:after="120" w:line="276" w:lineRule="auto"/>
        <w:ind w:left="0" w:right="0" w:firstLine="0"/>
        <w:jc w:val="left"/>
      </w:pPr>
      <w:r>
        <w:rPr>
          <w:rFonts w:ascii="Arial" w:hAnsi="Arial"/>
          <w:color w:val="1E1E1E"/>
          <w:sz w:val="21"/>
        </w:rPr>
        <w:t>Organizations should look beyond their internal walls to understand the broader societal impact of their products.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External Advisory Panels:</w:t>
      </w:r>
      <w:r>
        <w:rPr>
          <w:rFonts w:ascii="Arial" w:hAnsi="Arial"/>
          <w:color w:val="1E1E1E"/>
          <w:sz w:val="21"/>
        </w:rPr>
        <w:t xml:space="preserve"> Consult with academic researchers and NGOs to gain diverse perspectives on technological risks.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Industry Collaboration:</w:t>
      </w:r>
      <w:r>
        <w:rPr>
          <w:rFonts w:ascii="Arial" w:hAnsi="Arial"/>
          <w:color w:val="1E1E1E"/>
          <w:sz w:val="21"/>
        </w:rPr>
        <w:t xml:space="preserve"> Participate in cross-sector forums to establish common ethical standards and best practices.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Community Outreach:</w:t>
      </w:r>
      <w:r>
        <w:rPr>
          <w:rFonts w:ascii="Arial" w:hAnsi="Arial"/>
          <w:color w:val="1E1E1E"/>
          <w:sz w:val="21"/>
        </w:rPr>
        <w:t xml:space="preserve"> Conduct impact assessments that include feedback from the communities most likely to be affected by new technology deployments.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rapid proliferation of emerging technologies necessitates a transition from reactive compliance to proactive ethical stewardship within the corporate sector. By embedding accountability, transparency, and human-centric design into the core of their operations, businesses can mitigate systemic risks while building enduring value. Ultimately, ethical integrity serves as the bedrock upon which sustainable innovation and long-term market trust are constructed.</w:t>
      </w:r>
    </w:p>
    <w:p>
      <w:pPr>
        <w:spacing w:before="40" w:after="120" w:line="276" w:lineRule="auto"/>
        <w:ind w:left="0" w:right="0" w:firstLine="0"/>
        <w:jc w:val="left"/>
      </w:pPr>
      <w:r>
        <w:rPr>
          <w:rFonts w:ascii="Arial" w:hAnsi="Arial"/>
          <w:color w:val="1E1E1E"/>
          <w:sz w:val="21"/>
        </w:rPr>
        <w:t>Leaders must recognize that technological prowess without ethical grounding is a profound strategic liability in an increasingly scrutinized global economy. Adopting these frameworks allows organizations to navigate the complexities of AI and data analytics while safeguarding their reputation and societal license to operate. A commitment to digital ethics is not a constraint on progress, but a prerequisite for meaningful and responsible technological advancement.</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