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How can companies implement ethical and sustainable practices in their supply chains? Discuss the challenges and strategies involved in ensuring supply chain responsibility.</w:t>
      </w:r>
    </w:p>
    <w:p>
      <w:pPr>
        <w:spacing w:before="40" w:after="120" w:line="276" w:lineRule="auto"/>
        <w:ind w:left="0" w:right="0" w:firstLine="0"/>
        <w:jc w:val="left"/>
      </w:pPr>
      <w:r>
        <w:rPr>
          <w:rFonts w:ascii="Arial" w:hAnsi="Arial"/>
          <w:color w:val="1E1E1E"/>
          <w:sz w:val="21"/>
        </w:rPr>
        <w:t>Ethical and sustainable supply chain management (ESSCM) is defined as the strategic integration of social, environmental, and economic considerations into the procurement, production, and distribution processes to minimize negative externalities and maximize long-term value for all stakeholders (Carter &amp; Rogers, 2008). This framework necessitates a holistic approach that transcends traditional cost-minimization objectives, requiring organizations to assume responsibility for the entire lifecycle of their products, from raw material extraction to end-of-life disposal. By embedding ethical standards—such as fair labor practices and human rights protections—alongside environmental stewardship, firms attempt to mitigate systemic risks while fostering resilience in an increasingly volatile global market.</w:t>
      </w:r>
    </w:p>
    <w:p>
      <w:pPr>
        <w:spacing w:before="40" w:after="120" w:line="276" w:lineRule="auto"/>
        <w:ind w:left="0" w:right="0" w:firstLine="0"/>
        <w:jc w:val="left"/>
      </w:pPr>
      <w:r>
        <w:rPr>
          <w:rFonts w:ascii="Arial" w:hAnsi="Arial"/>
          <w:color w:val="1E1E1E"/>
          <w:sz w:val="21"/>
        </w:rPr>
        <w:t>In operational practice, this requires a transition from linear, transactional supplier relationships toward collaborative, transparent partnerships characterized by rigorous auditing and continuous improvement protocols. Companies must map their multi-tier supply networks to identify points of vulnerability, ensuring that downstream suppliers adhere to the same rigorous standards as the lead firm. Consequently, the operational reality of ESSCM involves the deployment of sophisticated data tracking systems, blockchain-enabled traceability, and enforceable codes of conduct that link procurement decisions directly to supplier performance metrics.</w:t>
      </w:r>
    </w:p>
    <w:p>
      <w:pPr>
        <w:keepNext/>
        <w:spacing w:before="220" w:after="100" w:line="276" w:lineRule="auto"/>
        <w:ind w:left="0" w:right="0" w:firstLine="0"/>
        <w:jc w:val="left"/>
      </w:pPr>
      <w:r>
        <w:rPr>
          <w:rFonts w:ascii="Arial" w:hAnsi="Arial"/>
          <w:b/>
          <w:color w:val="111827"/>
          <w:sz w:val="25"/>
        </w:rPr>
        <w:t>Core Pillars of Supply Chain Responsibility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Environmental Stewardship:</w:t>
      </w:r>
      <w:r>
        <w:rPr>
          <w:rFonts w:ascii="Arial" w:hAnsi="Arial"/>
          <w:color w:val="1E1E1E"/>
          <w:sz w:val="21"/>
        </w:rPr>
        <w:t xml:space="preserve"> This pillar focuses on reducing the ecological footprint of supply chain activities through carbon emission reduction, waste minimization, and the promotion of circular economy principles. Organizations must prioritize resource efficiency by optimizing logistics networks to reduce fuel consumption and transitioning toward renewable energy sources within manufacturing facilities. Furthermore, sustainable sourcing policies ensure that raw materials are procured in ways that protect biodiversity and prevent deforestation, thereby aligning corporate growth with planetary boundaries.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Social and Ethical Accountability:</w:t>
      </w:r>
      <w:r>
        <w:rPr>
          <w:rFonts w:ascii="Arial" w:hAnsi="Arial"/>
          <w:color w:val="1E1E1E"/>
          <w:sz w:val="21"/>
        </w:rPr>
        <w:t xml:space="preserve"> This dimension addresses the human element of the supply chain, mandating the protection of labor rights, the elimination of forced or child labor, and the assurance of safe working conditions across all tiers of production. Companies are expected to enforce living wage standards and foster diversity and inclusion within their supplier base to mitigate reputational risk and promote equitable economic development. By institutionalizing social audits and grievance mechanisms, firms ensure that their operational activities do not come at the cost of human dignity or community well-being.</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Governance and Transparency:</w:t>
      </w:r>
      <w:r>
        <w:rPr>
          <w:rFonts w:ascii="Arial" w:hAnsi="Arial"/>
          <w:color w:val="1E1E1E"/>
          <w:sz w:val="21"/>
        </w:rPr>
        <w:t xml:space="preserve"> Effective supply chain management relies upon robust governance frameworks that ensure accountability through rigorous reporting, standardized auditing, and proactive risk management. This pillar necessitates the establishment of clear ethical guidelines that are integrated into procurement contracts, accompanied by regular monitoring to verify compliance. Transparency serves as the bedrock of trust, enabling stakeholders to scrutinize corporate actions and holding organizations accountable for the environmental and social consequences of their global operations.</w:t>
      </w:r>
    </w:p>
    <w:p>
      <w:pPr>
        <w:keepNext/>
        <w:spacing w:before="220" w:after="100" w:line="276" w:lineRule="auto"/>
        <w:ind w:left="0" w:right="0" w:firstLine="0"/>
        <w:jc w:val="left"/>
      </w:pPr>
      <w:r>
        <w:rPr>
          <w:rFonts w:ascii="Arial" w:hAnsi="Arial"/>
          <w:b/>
          <w:color w:val="111827"/>
          <w:sz w:val="25"/>
        </w:rPr>
        <w:t>Importance of Supply Chain Responsibility in Contemporary Business</w:t>
      </w:r>
    </w:p>
    <w:p>
      <w:pPr>
        <w:spacing w:before="40" w:after="120" w:line="276" w:lineRule="auto"/>
        <w:ind w:left="0" w:right="0" w:firstLine="0"/>
        <w:jc w:val="left"/>
      </w:pPr>
      <w:r>
        <w:rPr>
          <w:rFonts w:ascii="Arial" w:hAnsi="Arial"/>
          <w:color w:val="1E1E1E"/>
          <w:sz w:val="21"/>
        </w:rPr>
        <w:t>The strategic imperative for integrating sustainability into supply chains is driven by the following factors: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Resilience:</w:t>
      </w:r>
      <w:r>
        <w:rPr>
          <w:rFonts w:ascii="Arial" w:hAnsi="Arial"/>
          <w:color w:val="1E1E1E"/>
          <w:sz w:val="21"/>
        </w:rPr>
        <w:t xml:space="preserve"> Proactive management of ethical risks prevents supply chain disruptions caused by labor unrest, environmental disasters, or regulatory sanctions. For instance, Nike restructured its monitoring systems following historical controversies to ensure tighter control over sub-contracted factories, thereby insulating the brand from further systemic shocks.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Brand Equity and Consumer Trust:</w:t>
      </w:r>
      <w:r>
        <w:rPr>
          <w:rFonts w:ascii="Arial" w:hAnsi="Arial"/>
          <w:color w:val="1E1E1E"/>
          <w:sz w:val="21"/>
        </w:rPr>
        <w:t xml:space="preserve"> Modern consumers increasingly prioritize ethical consumption, making transparency a prerequisite for maintaining market share and premium pricing power. Patagonia has leveraged its commitment to radical supply chain transparency to build intense customer loyalty, demonstrating that ethical practices are a key driver of long-term brand valuation.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Regulatory Compliance and Investor Relations:</w:t>
      </w:r>
      <w:r>
        <w:rPr>
          <w:rFonts w:ascii="Arial" w:hAnsi="Arial"/>
          <w:color w:val="1E1E1E"/>
          <w:sz w:val="21"/>
        </w:rPr>
        <w:t xml:space="preserve"> Governments are enacting stringent due diligence laws, such as the EU’s Corporate Sustainability Due Diligence Directive, requiring firms to report on human rights and environmental impacts. Unilever’s Sustainable Living Plan has historically attracted ESG-focused investors who view such comprehensive reporting as a proxy for superior management quality and lower long-term risk.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Efficiency and Cost Reduction:</w:t>
      </w:r>
      <w:r>
        <w:rPr>
          <w:rFonts w:ascii="Arial" w:hAnsi="Arial"/>
          <w:color w:val="1E1E1E"/>
          <w:sz w:val="21"/>
        </w:rPr>
        <w:t xml:space="preserve"> Sustainability initiatives often drive innovation in resource management, leading to significant reductions in material waste and energy expenditure. Walmart’s "Project Gigaton" incentivizes suppliers to reduce greenhouse gas emissions, which has simultaneously lowered energy costs and increased the overall efficiency of their vast logistics network.</w:t>
      </w:r>
    </w:p>
    <w:p>
      <w:pPr>
        <w:keepNext/>
        <w:spacing w:before="220" w:after="100" w:line="276" w:lineRule="auto"/>
        <w:ind w:left="0" w:right="0" w:firstLine="0"/>
        <w:jc w:val="left"/>
      </w:pPr>
      <w:r>
        <w:rPr>
          <w:rFonts w:ascii="Arial" w:hAnsi="Arial"/>
          <w:b/>
          <w:color w:val="111827"/>
          <w:sz w:val="25"/>
        </w:rPr>
        <w:t>Comparative Analysis: Supply Chain Responsibility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Ethical Sourcing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Lean Manufacturing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Circular Economy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Procurement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Human rights compliance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Waste elimination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Regenerative resource use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Cost minimization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brand health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efficiency gains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Lifecycle value creation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Immediate financial savings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Key Metric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Social audit scores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Inventory turnover rates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Recyclability and durability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Unit purchase price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Reputational/Legal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Operational downtime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Resource scarcity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Supply chain volatility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Supply Chain Responsibility Within Organizations</w:t>
      </w:r>
    </w:p>
    <w:p>
      <w:pPr>
        <w:spacing w:before="40" w:after="120" w:line="276" w:lineRule="auto"/>
        <w:ind w:left="0" w:right="0" w:firstLine="0"/>
        <w:jc w:val="left"/>
      </w:pPr>
      <w:r>
        <w:rPr>
          <w:rFonts w:ascii="Arial" w:hAnsi="Arial"/>
          <w:color w:val="1E1E1E"/>
          <w:sz w:val="21"/>
        </w:rPr>
        <w:t>The successful implementation of these frameworks requires a systematic, top-down approach that aligns corporate values with procurement realities:</w:t>
      </w:r>
    </w:p>
    <w:p>
      <w:pPr>
        <w:keepNext/>
        <w:spacing w:before="180" w:after="60" w:line="276" w:lineRule="auto"/>
        <w:ind w:left="0" w:right="0" w:firstLine="0"/>
        <w:jc w:val="left"/>
      </w:pPr>
      <w:r>
        <w:rPr>
          <w:rFonts w:ascii="Arial" w:hAnsi="Arial"/>
          <w:b/>
          <w:color w:val="111827"/>
          <w:sz w:val="22"/>
        </w:rPr>
        <w:t>1. Strategic Supplier Engagement</w:t>
      </w:r>
    </w:p>
    <w:p>
      <w:pPr>
        <w:spacing w:before="40" w:after="120" w:line="276" w:lineRule="auto"/>
        <w:ind w:left="0" w:right="0" w:firstLine="0"/>
        <w:jc w:val="left"/>
      </w:pPr>
      <w:r>
        <w:rPr>
          <w:rFonts w:ascii="Arial" w:hAnsi="Arial"/>
          <w:color w:val="1E1E1E"/>
          <w:sz w:val="21"/>
        </w:rPr>
        <w:t>Leaders must move beyond punitive auditing toward collaborative development programs that help suppliers reach sustainability goals.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Co-investment models:</w:t>
      </w:r>
      <w:r>
        <w:rPr>
          <w:rFonts w:ascii="Arial" w:hAnsi="Arial"/>
          <w:color w:val="1E1E1E"/>
          <w:sz w:val="21"/>
        </w:rPr>
        <w:t xml:space="preserve"> Companies provide technical expertise or financial support to help suppliers upgrade to energy-efficient machinery.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Long-term contracts:</w:t>
      </w:r>
      <w:r>
        <w:rPr>
          <w:rFonts w:ascii="Arial" w:hAnsi="Arial"/>
          <w:color w:val="1E1E1E"/>
          <w:sz w:val="21"/>
        </w:rPr>
        <w:t xml:space="preserve"> Offering multi-year agreements incentivizes suppliers to invest in ethical infrastructure without fear of immediate contract termination.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Shared knowledge hubs:</w:t>
      </w:r>
      <w:r>
        <w:rPr>
          <w:rFonts w:ascii="Arial" w:hAnsi="Arial"/>
          <w:color w:val="1E1E1E"/>
          <w:sz w:val="21"/>
        </w:rPr>
        <w:t xml:space="preserve"> Establishing platforms where suppliers exchange best practices regarding waste reduction and labor management.</w:t>
      </w:r>
    </w:p>
    <w:p>
      <w:pPr>
        <w:keepNext/>
        <w:spacing w:before="180" w:after="60" w:line="276" w:lineRule="auto"/>
        <w:ind w:left="0" w:right="0" w:firstLine="0"/>
        <w:jc w:val="left"/>
      </w:pPr>
      <w:r>
        <w:rPr>
          <w:rFonts w:ascii="Arial" w:hAnsi="Arial"/>
          <w:b/>
          <w:color w:val="111827"/>
          <w:sz w:val="22"/>
        </w:rPr>
        <w:t>2. Advanced Traceability Technologies</w:t>
      </w:r>
    </w:p>
    <w:p>
      <w:pPr>
        <w:spacing w:before="40" w:after="120" w:line="276" w:lineRule="auto"/>
        <w:ind w:left="0" w:right="0" w:firstLine="0"/>
        <w:jc w:val="left"/>
      </w:pPr>
      <w:r>
        <w:rPr>
          <w:rFonts w:ascii="Arial" w:hAnsi="Arial"/>
          <w:color w:val="1E1E1E"/>
          <w:sz w:val="21"/>
        </w:rPr>
        <w:t>Digital infrastructure is essential for monitoring complex networks that span multiple continents and tiers of production.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Blockchain integration:</w:t>
      </w:r>
      <w:r>
        <w:rPr>
          <w:rFonts w:ascii="Arial" w:hAnsi="Arial"/>
          <w:color w:val="1E1E1E"/>
          <w:sz w:val="21"/>
        </w:rPr>
        <w:t xml:space="preserve"> Using immutable ledgers to track the provenance of raw materials from extraction to final assembly point.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IoT sensor deployment:</w:t>
      </w:r>
      <w:r>
        <w:rPr>
          <w:rFonts w:ascii="Arial" w:hAnsi="Arial"/>
          <w:color w:val="1E1E1E"/>
          <w:sz w:val="21"/>
        </w:rPr>
        <w:t xml:space="preserve"> Implementing real-time monitoring of transit conditions to ensure compliance with environmental and safety standards.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compliance software:</w:t>
      </w:r>
      <w:r>
        <w:rPr>
          <w:rFonts w:ascii="Arial" w:hAnsi="Arial"/>
          <w:color w:val="1E1E1E"/>
          <w:sz w:val="21"/>
        </w:rPr>
        <w:t xml:space="preserve"> Utilizing AI to scan news reports and local databases for potential labor violations in specific geographic regions.</w:t>
      </w:r>
    </w:p>
    <w:p>
      <w:pPr>
        <w:keepNext/>
        <w:spacing w:before="180" w:after="60" w:line="276" w:lineRule="auto"/>
        <w:ind w:left="0" w:right="0" w:firstLine="0"/>
        <w:jc w:val="left"/>
      </w:pPr>
      <w:r>
        <w:rPr>
          <w:rFonts w:ascii="Arial" w:hAnsi="Arial"/>
          <w:b/>
          <w:color w:val="111827"/>
          <w:sz w:val="22"/>
        </w:rPr>
        <w:t>3. Integration of ESG into Procurement</w:t>
      </w:r>
    </w:p>
    <w:p>
      <w:pPr>
        <w:spacing w:before="40" w:after="120" w:line="276" w:lineRule="auto"/>
        <w:ind w:left="0" w:right="0" w:firstLine="0"/>
        <w:jc w:val="left"/>
      </w:pPr>
      <w:r>
        <w:rPr>
          <w:rFonts w:ascii="Arial" w:hAnsi="Arial"/>
          <w:color w:val="1E1E1E"/>
          <w:sz w:val="21"/>
        </w:rPr>
        <w:t>Procurement teams must be incentivized to value sustainability as highly as price and delivery speed.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Sustainability KPIs:</w:t>
      </w:r>
      <w:r>
        <w:rPr>
          <w:rFonts w:ascii="Arial" w:hAnsi="Arial"/>
          <w:color w:val="1E1E1E"/>
          <w:sz w:val="21"/>
        </w:rPr>
        <w:t xml:space="preserve"> Incorporating environmental and social performance metrics into the bonus structures of procurement officers.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Weighted decision matrices:</w:t>
      </w:r>
      <w:r>
        <w:rPr>
          <w:rFonts w:ascii="Arial" w:hAnsi="Arial"/>
          <w:color w:val="1E1E1E"/>
          <w:sz w:val="21"/>
        </w:rPr>
        <w:t xml:space="preserve"> Adjusting vendor selection criteria to favor suppliers with verified sustainability certifications like B-Corp or ISO 14001.</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alignment:</w:t>
      </w:r>
      <w:r>
        <w:rPr>
          <w:rFonts w:ascii="Arial" w:hAnsi="Arial"/>
          <w:color w:val="1E1E1E"/>
          <w:sz w:val="21"/>
        </w:rPr>
        <w:t xml:space="preserve"> Ensuring that sustainability teams work directly with purchasing departments to vet new vendors before contracts are signed.</w:t>
      </w:r>
    </w:p>
    <w:p>
      <w:pPr>
        <w:keepNext/>
        <w:spacing w:before="180" w:after="60" w:line="276" w:lineRule="auto"/>
        <w:ind w:left="0" w:right="0" w:firstLine="0"/>
        <w:jc w:val="left"/>
      </w:pPr>
      <w:r>
        <w:rPr>
          <w:rFonts w:ascii="Arial" w:hAnsi="Arial"/>
          <w:b/>
          <w:color w:val="111827"/>
          <w:sz w:val="22"/>
        </w:rPr>
        <w:t>4. Robust Grievance Mechanisms</w:t>
      </w:r>
    </w:p>
    <w:p>
      <w:pPr>
        <w:spacing w:before="40" w:after="120" w:line="276" w:lineRule="auto"/>
        <w:ind w:left="0" w:right="0" w:firstLine="0"/>
        <w:jc w:val="left"/>
      </w:pPr>
      <w:r>
        <w:rPr>
          <w:rFonts w:ascii="Arial" w:hAnsi="Arial"/>
          <w:color w:val="1E1E1E"/>
          <w:sz w:val="21"/>
        </w:rPr>
        <w:t>Providing a safe channel for workers to report abuses is critical for identifying issues before they escalate into crises.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Anonymous reporting lines:</w:t>
      </w:r>
      <w:r>
        <w:rPr>
          <w:rFonts w:ascii="Arial" w:hAnsi="Arial"/>
          <w:color w:val="1E1E1E"/>
          <w:sz w:val="21"/>
        </w:rPr>
        <w:t xml:space="preserve"> Implementing third-party managed hotlines that allow factory workers to report abuses in their native languages.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Whistleblower protections:</w:t>
      </w:r>
      <w:r>
        <w:rPr>
          <w:rFonts w:ascii="Arial" w:hAnsi="Arial"/>
          <w:color w:val="1E1E1E"/>
          <w:sz w:val="21"/>
        </w:rPr>
        <w:t xml:space="preserve"> Establishing clear corporate policies that protect workers from retaliation when they report violations of ethical codes.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Independent oversight:</w:t>
      </w:r>
      <w:r>
        <w:rPr>
          <w:rFonts w:ascii="Arial" w:hAnsi="Arial"/>
          <w:color w:val="1E1E1E"/>
          <w:sz w:val="21"/>
        </w:rPr>
        <w:t xml:space="preserve"> Engaging local NGOs to manage local grievance mechanisms and verify the validity of reported claims.</w:t>
      </w:r>
    </w:p>
    <w:p>
      <w:pPr>
        <w:keepNext/>
        <w:spacing w:before="180" w:after="60" w:line="276" w:lineRule="auto"/>
        <w:ind w:left="0" w:right="0" w:firstLine="0"/>
        <w:jc w:val="left"/>
      </w:pPr>
      <w:r>
        <w:rPr>
          <w:rFonts w:ascii="Arial" w:hAnsi="Arial"/>
          <w:b/>
          <w:color w:val="111827"/>
          <w:sz w:val="22"/>
        </w:rPr>
        <w:t>5. Transparent Public Reporting</w:t>
      </w:r>
    </w:p>
    <w:p>
      <w:pPr>
        <w:spacing w:before="40" w:after="120" w:line="276" w:lineRule="auto"/>
        <w:ind w:left="0" w:right="0" w:firstLine="0"/>
        <w:jc w:val="left"/>
      </w:pPr>
      <w:r>
        <w:rPr>
          <w:rFonts w:ascii="Arial" w:hAnsi="Arial"/>
          <w:color w:val="1E1E1E"/>
          <w:sz w:val="21"/>
        </w:rPr>
        <w:t>Accountability is enhanced when firms disclose both their successes and their ongoing challenges to the public.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disclosures:</w:t>
      </w:r>
      <w:r>
        <w:rPr>
          <w:rFonts w:ascii="Arial" w:hAnsi="Arial"/>
          <w:color w:val="1E1E1E"/>
          <w:sz w:val="21"/>
        </w:rPr>
        <w:t xml:space="preserve"> Adopting frameworks like the Global Reporting Initiative (GRI) to ensure comparability across different industries.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Impact-focused narratives:</w:t>
      </w:r>
      <w:r>
        <w:rPr>
          <w:rFonts w:ascii="Arial" w:hAnsi="Arial"/>
          <w:color w:val="1E1E1E"/>
          <w:sz w:val="21"/>
        </w:rPr>
        <w:t xml:space="preserve"> Moving beyond marketing spin to provide data-driven reports on carbon footprints and labor conditions.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dialogues:</w:t>
      </w:r>
      <w:r>
        <w:rPr>
          <w:rFonts w:ascii="Arial" w:hAnsi="Arial"/>
          <w:color w:val="1E1E1E"/>
          <w:sz w:val="21"/>
        </w:rPr>
        <w:t xml:space="preserve"> Hosting regular forums with investors, NGOs, and community leaders to discuss the challenges of supply chain management.</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integration of ethical and sustainable practices into supply chains is no longer an optional corporate social responsibility initiative but a fundamental requirement for long-term viability. By prioritizing transparency, technological innovation, and collaborative supplier relationships, firms can navigate the complexities of global trade while mitigating significant environmental and social risks. Ultimately, the transition to responsible supply chains hinges on the ability of leadership to align organizational incentives with the broader requirements of a sustainable global economy.</w:t>
      </w:r>
    </w:p>
    <w:p>
      <w:pPr>
        <w:spacing w:before="40" w:after="120" w:line="276" w:lineRule="auto"/>
        <w:ind w:left="0" w:right="0" w:firstLine="0"/>
        <w:jc w:val="left"/>
      </w:pPr>
      <w:r>
        <w:rPr>
          <w:rFonts w:ascii="Arial" w:hAnsi="Arial"/>
          <w:color w:val="1E1E1E"/>
          <w:sz w:val="21"/>
        </w:rPr>
        <w:t>Strategic success in this domain requires a departure from short-term financial optimization in favor of resilient, value-driven operations. Companies that successfully embed these principles will not only avoid regulatory and reputational pitfalls but will also establish a competitive advantage that resonates with a conscientious global market. As the regulatory landscape continues to tighten, those who proactively adopt these practices will emerge as the architects of a more stable and ethical commercial future.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