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12</w:t>
      </w:r>
    </w:p>
    <w:p>
      <w:pPr>
        <w:spacing w:before="0" w:after="240" w:line="288" w:lineRule="auto"/>
        <w:ind w:left="0" w:right="0" w:firstLine="0"/>
        <w:jc w:val="left"/>
        <w:pBdr>
          <w:bottom w:val="single" w:sz="6" w:space="6" w:color="D0D5DD"/>
        </w:pBdr>
      </w:pPr>
      <w:r>
        <w:rPr>
          <w:rFonts w:ascii="Arial" w:hAnsi="Arial"/>
          <w:b/>
          <w:color w:val="111827"/>
          <w:sz w:val="23"/>
        </w:rPr>
        <w:t>Examine the ethical responsibilities of companies towards their employees. How can businesses balance the pursuit of profit with the rights and well-being of their workers?</w:t>
      </w:r>
    </w:p>
    <w:p>
      <w:pPr>
        <w:spacing w:before="40" w:after="120" w:line="276" w:lineRule="auto"/>
        <w:ind w:left="0" w:right="0" w:firstLine="0"/>
        <w:jc w:val="left"/>
      </w:pPr>
      <w:r>
        <w:rPr>
          <w:rFonts w:ascii="Arial" w:hAnsi="Arial"/>
          <w:color w:val="1E1E1E"/>
          <w:sz w:val="21"/>
        </w:rPr>
        <w:t>The ethical responsibilities of corporations toward their employees encompass the normative obligations an organization holds to ensure the dignity, safety, and equitable treatment of its workforce beyond the basic requirements of employment law. This concept is fundamentally rooted in Stakeholder Theory, which posits that a firm’s success is contingent upon the satisfaction of all parties involved in the value-creation process, rather than exclusively prioritizing shareholder wealth (Freeman, 1984). By recognizing employees as primary stakeholders, firms acknowledge that human capital is not merely an operational expense but a foundational asset that necessitates reciprocal moral consideration and institutional protection.</w:t>
      </w:r>
    </w:p>
    <w:p>
      <w:pPr>
        <w:spacing w:before="40" w:after="120" w:line="276" w:lineRule="auto"/>
        <w:ind w:left="0" w:right="0" w:firstLine="0"/>
        <w:jc w:val="left"/>
      </w:pPr>
      <w:r>
        <w:rPr>
          <w:rFonts w:ascii="Arial" w:hAnsi="Arial"/>
          <w:color w:val="1E1E1E"/>
          <w:sz w:val="21"/>
        </w:rPr>
        <w:t>In operational reality, this framework functions through the integration of human-centric policies into the organization’s core strategic decision-making processes. Companies translate these ethical commitments into practice by establishing rigorous labor standards, transparent compensation structures, and robust professional development pathways that transcend minimal legal compliance. This alignment ensures that organizational objectives remain synchronized with the long-term well-being of the workforce, thereby fostering a culture of mutual accountability and sustainable productivity.</w:t>
      </w:r>
    </w:p>
    <w:p>
      <w:pPr>
        <w:keepNext/>
        <w:spacing w:before="220" w:after="100" w:line="276" w:lineRule="auto"/>
        <w:ind w:left="0" w:right="0" w:firstLine="0"/>
        <w:jc w:val="left"/>
      </w:pPr>
      <w:r>
        <w:rPr>
          <w:rFonts w:ascii="Arial" w:hAnsi="Arial"/>
          <w:b/>
          <w:color w:val="111827"/>
          <w:sz w:val="25"/>
        </w:rPr>
        <w:t>Core Pillars of Corporate Ethical Responsibility</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Procedural and Distributive Justice:</w:t>
      </w:r>
      <w:r>
        <w:rPr>
          <w:rFonts w:ascii="Arial" w:hAnsi="Arial"/>
          <w:color w:val="1E1E1E"/>
          <w:sz w:val="21"/>
        </w:rPr>
        <w:t xml:space="preserve"> This pillar mandates that organizations implement transparent, objective, and unbiased processes for performance evaluation, promotion, and remuneration. By ensuring that rewards are allocated based on merit and that decision-making procedures are consistent, companies mitigate the risks of systemic discrimination and favoritism. This dimension of ethical responsibility fosters internal trust, as employees perceive the organizational environment as equitable and structurally sound.</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Psychological and Physical Safety:</w:t>
      </w:r>
      <w:r>
        <w:rPr>
          <w:rFonts w:ascii="Arial" w:hAnsi="Arial"/>
          <w:color w:val="1E1E1E"/>
          <w:sz w:val="21"/>
        </w:rPr>
        <w:t xml:space="preserve"> Beyond the mitigation of occupational hazards, this pillar requires a commitment to fostering an environment that protects the mental and emotional stability of the workforce. This involves the implementation of zero-tolerance policies regarding workplace harassment, the provision of adequate resources for stress management, and the design of work-life boundaries that prevent burnout. By prioritizing the holistic health of the individual, organizations demonstrate an ethical commitment to the personhood of their employees rather than viewing them as interchangeable units of production.</w:t>
      </w:r>
    </w:p>
    <w:p>
      <w:pPr>
        <w:keepNext/>
        <w:spacing w:before="220" w:after="100" w:line="276" w:lineRule="auto"/>
        <w:ind w:left="0" w:right="0" w:firstLine="0"/>
        <w:jc w:val="left"/>
      </w:pPr>
      <w:r>
        <w:rPr>
          <w:rFonts w:ascii="Arial" w:hAnsi="Arial"/>
          <w:b/>
          <w:color w:val="111827"/>
          <w:sz w:val="25"/>
        </w:rPr>
        <w:t>Importance of Ethical Responsibility in Contemporary Business: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Human Capital Retention:</w:t>
      </w:r>
      <w:r>
        <w:rPr>
          <w:rFonts w:ascii="Arial" w:hAnsi="Arial"/>
          <w:color w:val="1E1E1E"/>
          <w:sz w:val="21"/>
        </w:rPr>
        <w:t xml:space="preserve"> High turnover rates impose substantial financial burdens on firms through recruitment and training costs. Companies like Patagonia have historically minimized these losses by offering industry-leading benefits, which cultivates intense employee loyalty and reduces the necessity for constant workforce replacement.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Organizational Reputation and Brand Equity:</w:t>
      </w:r>
      <w:r>
        <w:rPr>
          <w:rFonts w:ascii="Arial" w:hAnsi="Arial"/>
          <w:color w:val="1E1E1E"/>
          <w:sz w:val="21"/>
        </w:rPr>
        <w:t xml:space="preserve"> Consumers increasingly scrutinize the labor practices of the firms they support, making ethical treatment a critical component of market positioning. For instance, Costco’s commitment to above-average wages and comprehensive health coverage has established a strong brand identity that attracts both conscientious consumers and high-performing talent.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Mitigation and Legal Compliance:</w:t>
      </w:r>
      <w:r>
        <w:rPr>
          <w:rFonts w:ascii="Arial" w:hAnsi="Arial"/>
          <w:color w:val="1E1E1E"/>
          <w:sz w:val="21"/>
        </w:rPr>
        <w:t xml:space="preserve"> Proactive ethical management serves as a buffer against the legal and financial repercussions associated with labor disputes or litigation. Organizations that prioritize internal grievance mechanisms and ethical labor standards, such as Microsoft, effectively mitigate the risk of reputational damage stemming from internal misconduct or systemic inequities.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Innovation and Productivity Gains:</w:t>
      </w:r>
      <w:r>
        <w:rPr>
          <w:rFonts w:ascii="Arial" w:hAnsi="Arial"/>
          <w:color w:val="1E1E1E"/>
          <w:sz w:val="21"/>
        </w:rPr>
        <w:t xml:space="preserve"> When employees feel secure and respected, they are more likely to engage in creative risk-taking and collaborative problem-solving. Google’s emphasis on psychological safety allows for open communication, which directly correlates to the company’s ability to maintain a competitive advantage through consistent, employee-driven innovation.</w:t>
      </w:r>
    </w:p>
    <w:p>
      <w:pPr>
        <w:keepNext/>
        <w:spacing w:before="220" w:after="100" w:line="276" w:lineRule="auto"/>
        <w:ind w:left="0" w:right="0" w:firstLine="0"/>
        <w:jc w:val="left"/>
      </w:pPr>
      <w:r>
        <w:rPr>
          <w:rFonts w:ascii="Arial" w:hAnsi="Arial"/>
          <w:b/>
          <w:color w:val="111827"/>
          <w:sz w:val="25"/>
        </w:rPr>
        <w:t>Comparative Analysis: Ethical Responsibility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Stakeholder Theory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Shareholder Primacy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Utilitarianism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Deontological Ethics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Holistic well-being of all organizational stakeholders.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Maximization of profits for company shareholders.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Achieving the greatest good for the majority.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Adherence to moral duties regardless of outcome.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Employee View</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Valued as essential partners in value creation.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Viewed as a cost to be minimized.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Considered a variable in total social utility.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Regarded as ends in themselves, never tools.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Success Metric</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Sustainable growth and long-term stakeholder health.</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Short-term earnings per share and stock price.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Aggregate benefit generated for the entire firm.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Consistency with universal moral laws and duties.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Decision Logic</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Balanced consideration of diverse stakeholder interests.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Prioritization of investor financial return metrics.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Calculation of net positive organizational outcomes.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Strict application of established ethical principles.</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Ethical Responsibility Within Organizations</w:t>
      </w:r>
    </w:p>
    <w:p>
      <w:pPr>
        <w:spacing w:before="40" w:after="120" w:line="276" w:lineRule="auto"/>
        <w:ind w:left="0" w:right="0" w:firstLine="0"/>
        <w:jc w:val="left"/>
      </w:pPr>
      <w:r>
        <w:rPr>
          <w:rFonts w:ascii="Arial" w:hAnsi="Arial"/>
          <w:color w:val="1E1E1E"/>
          <w:sz w:val="21"/>
        </w:rPr>
        <w:t>Effective leadership requires the systematic integration of ethical values into the daily operational fabric of the firm:</w:t>
      </w:r>
    </w:p>
    <w:p>
      <w:pPr>
        <w:keepNext/>
        <w:spacing w:before="180" w:after="60" w:line="276" w:lineRule="auto"/>
        <w:ind w:left="0" w:right="0" w:firstLine="0"/>
        <w:jc w:val="left"/>
      </w:pPr>
      <w:r>
        <w:rPr>
          <w:rFonts w:ascii="Arial" w:hAnsi="Arial"/>
          <w:b/>
          <w:color w:val="111827"/>
          <w:sz w:val="22"/>
        </w:rPr>
        <w:t>1. Strategic Alignment of Values</w:t>
      </w:r>
    </w:p>
    <w:p>
      <w:pPr>
        <w:spacing w:before="40" w:after="120" w:line="276" w:lineRule="auto"/>
        <w:ind w:left="0" w:right="0" w:firstLine="0"/>
        <w:jc w:val="left"/>
      </w:pPr>
      <w:r>
        <w:rPr>
          <w:rFonts w:ascii="Arial" w:hAnsi="Arial"/>
          <w:color w:val="1E1E1E"/>
          <w:sz w:val="21"/>
        </w:rPr>
        <w:t>Leaders must ensure that ethical commitments are not peripheral but central to the company’s mission statement.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Mission Integration:</w:t>
      </w:r>
      <w:r>
        <w:rPr>
          <w:rFonts w:ascii="Arial" w:hAnsi="Arial"/>
          <w:color w:val="1E1E1E"/>
          <w:sz w:val="21"/>
        </w:rPr>
        <w:t xml:space="preserve"> Explicitly include employee welfare goals in the organization’s primary strategic objectives.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Executive Accountability:</w:t>
      </w:r>
      <w:r>
        <w:rPr>
          <w:rFonts w:ascii="Arial" w:hAnsi="Arial"/>
          <w:color w:val="1E1E1E"/>
          <w:sz w:val="21"/>
        </w:rPr>
        <w:t xml:space="preserve"> Tie leadership bonuses to performance metrics related to employee satisfaction and retention.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Transparency Initiatives:</w:t>
      </w:r>
      <w:r>
        <w:rPr>
          <w:rFonts w:ascii="Arial" w:hAnsi="Arial"/>
          <w:color w:val="1E1E1E"/>
          <w:sz w:val="21"/>
        </w:rPr>
        <w:t xml:space="preserve"> Publish annual reports on labor practices to ensure that internal promises are publicly verifiable.</w:t>
      </w:r>
    </w:p>
    <w:p>
      <w:pPr>
        <w:keepNext/>
        <w:spacing w:before="180" w:after="60" w:line="276" w:lineRule="auto"/>
        <w:ind w:left="0" w:right="0" w:firstLine="0"/>
        <w:jc w:val="left"/>
      </w:pPr>
      <w:r>
        <w:rPr>
          <w:rFonts w:ascii="Arial" w:hAnsi="Arial"/>
          <w:b/>
          <w:color w:val="111827"/>
          <w:sz w:val="22"/>
        </w:rPr>
        <w:t>2. Equitable Compensation Frameworks</w:t>
      </w:r>
    </w:p>
    <w:p>
      <w:pPr>
        <w:spacing w:before="40" w:after="120" w:line="276" w:lineRule="auto"/>
        <w:ind w:left="0" w:right="0" w:firstLine="0"/>
        <w:jc w:val="left"/>
      </w:pPr>
      <w:r>
        <w:rPr>
          <w:rFonts w:ascii="Arial" w:hAnsi="Arial"/>
          <w:color w:val="1E1E1E"/>
          <w:sz w:val="21"/>
        </w:rPr>
        <w:t>Fair pay is the baseline requirement for maintaining an ethical relationship between the employer and the workforce.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Living Wage Commitment:</w:t>
      </w:r>
      <w:r>
        <w:rPr>
          <w:rFonts w:ascii="Arial" w:hAnsi="Arial"/>
          <w:color w:val="1E1E1E"/>
          <w:sz w:val="21"/>
        </w:rPr>
        <w:t xml:space="preserve"> Ensure that the lowest-paid employees earn a wage that exceeds the cost of living.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Pay Transparency:</w:t>
      </w:r>
      <w:r>
        <w:rPr>
          <w:rFonts w:ascii="Arial" w:hAnsi="Arial"/>
          <w:color w:val="1E1E1E"/>
          <w:sz w:val="21"/>
        </w:rPr>
        <w:t xml:space="preserve"> Implement clear, publicized salary bands to prevent wage gaps based on gender or ethnicity.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Profit-Sharing Models:</w:t>
      </w:r>
      <w:r>
        <w:rPr>
          <w:rFonts w:ascii="Arial" w:hAnsi="Arial"/>
          <w:color w:val="1E1E1E"/>
          <w:sz w:val="21"/>
        </w:rPr>
        <w:t xml:space="preserve"> Distribute a portion of organizational profits directly to the workforce to foster shared ownership.</w:t>
      </w:r>
    </w:p>
    <w:p>
      <w:pPr>
        <w:keepNext/>
        <w:spacing w:before="180" w:after="60" w:line="276" w:lineRule="auto"/>
        <w:ind w:left="0" w:right="0" w:firstLine="0"/>
        <w:jc w:val="left"/>
      </w:pPr>
      <w:r>
        <w:rPr>
          <w:rFonts w:ascii="Arial" w:hAnsi="Arial"/>
          <w:b/>
          <w:color w:val="111827"/>
          <w:sz w:val="22"/>
        </w:rPr>
        <w:t>3. Professional Development and Autonomy</w:t>
      </w:r>
    </w:p>
    <w:p>
      <w:pPr>
        <w:spacing w:before="40" w:after="120" w:line="276" w:lineRule="auto"/>
        <w:ind w:left="0" w:right="0" w:firstLine="0"/>
        <w:jc w:val="left"/>
      </w:pPr>
      <w:r>
        <w:rPr>
          <w:rFonts w:ascii="Arial" w:hAnsi="Arial"/>
          <w:color w:val="1E1E1E"/>
          <w:sz w:val="21"/>
        </w:rPr>
        <w:t>Empowerment is an ethical imperative that respects the agency and growth potential of every employee.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Continuous Learning:</w:t>
      </w:r>
      <w:r>
        <w:rPr>
          <w:rFonts w:ascii="Arial" w:hAnsi="Arial"/>
          <w:color w:val="1E1E1E"/>
          <w:sz w:val="21"/>
        </w:rPr>
        <w:t xml:space="preserve"> Provide dedicated budgets for employees to pursue certifications and skill-building opportunities.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Autonomy in Execution:</w:t>
      </w:r>
      <w:r>
        <w:rPr>
          <w:rFonts w:ascii="Arial" w:hAnsi="Arial"/>
          <w:color w:val="1E1E1E"/>
          <w:sz w:val="21"/>
        </w:rPr>
        <w:t xml:space="preserve"> Allow workers to participate in the design of their own workflows and project methodologies.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Internal Promotion Paths:</w:t>
      </w:r>
      <w:r>
        <w:rPr>
          <w:rFonts w:ascii="Arial" w:hAnsi="Arial"/>
          <w:color w:val="1E1E1E"/>
          <w:sz w:val="21"/>
        </w:rPr>
        <w:t xml:space="preserve"> Prioritize current staff for leadership opportunities to reward loyalty and institutional knowledge.</w:t>
      </w:r>
    </w:p>
    <w:p>
      <w:pPr>
        <w:keepNext/>
        <w:spacing w:before="180" w:after="60" w:line="276" w:lineRule="auto"/>
        <w:ind w:left="0" w:right="0" w:firstLine="0"/>
        <w:jc w:val="left"/>
      </w:pPr>
      <w:r>
        <w:rPr>
          <w:rFonts w:ascii="Arial" w:hAnsi="Arial"/>
          <w:b/>
          <w:color w:val="111827"/>
          <w:sz w:val="22"/>
        </w:rPr>
        <w:t>4. Robust Grievance Mechanisms</w:t>
      </w:r>
    </w:p>
    <w:p>
      <w:pPr>
        <w:spacing w:before="40" w:after="120" w:line="276" w:lineRule="auto"/>
        <w:ind w:left="0" w:right="0" w:firstLine="0"/>
        <w:jc w:val="left"/>
      </w:pPr>
      <w:r>
        <w:rPr>
          <w:rFonts w:ascii="Arial" w:hAnsi="Arial"/>
          <w:color w:val="1E1E1E"/>
          <w:sz w:val="21"/>
        </w:rPr>
        <w:t>Providing a safe channel for dissent is essential for preventing the escalation of workplace injustices.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Anonymous Reporting:</w:t>
      </w:r>
      <w:r>
        <w:rPr>
          <w:rFonts w:ascii="Arial" w:hAnsi="Arial"/>
          <w:color w:val="1E1E1E"/>
          <w:sz w:val="21"/>
        </w:rPr>
        <w:t xml:space="preserve"> Maintain third-party systems for reporting misconduct without fear of managerial retaliation.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Independent Oversight:</w:t>
      </w:r>
      <w:r>
        <w:rPr>
          <w:rFonts w:ascii="Arial" w:hAnsi="Arial"/>
          <w:color w:val="1E1E1E"/>
          <w:sz w:val="21"/>
        </w:rPr>
        <w:t xml:space="preserve"> Appoint an ombudsperson who reports directly to the board rather than to the executive suite.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Clear Remediation:</w:t>
      </w:r>
      <w:r>
        <w:rPr>
          <w:rFonts w:ascii="Arial" w:hAnsi="Arial"/>
          <w:color w:val="1E1E1E"/>
          <w:sz w:val="21"/>
        </w:rPr>
        <w:t xml:space="preserve"> Define specific, documented consequences for policy violations to ensure organizational consistency.</w:t>
      </w:r>
    </w:p>
    <w:p>
      <w:pPr>
        <w:keepNext/>
        <w:spacing w:before="180" w:after="60" w:line="276" w:lineRule="auto"/>
        <w:ind w:left="0" w:right="0" w:firstLine="0"/>
        <w:jc w:val="left"/>
      </w:pPr>
      <w:r>
        <w:rPr>
          <w:rFonts w:ascii="Arial" w:hAnsi="Arial"/>
          <w:b/>
          <w:color w:val="111827"/>
          <w:sz w:val="22"/>
        </w:rPr>
        <w:t>5. Holistic Wellness Support</w:t>
      </w:r>
    </w:p>
    <w:p>
      <w:pPr>
        <w:spacing w:before="40" w:after="120" w:line="276" w:lineRule="auto"/>
        <w:ind w:left="0" w:right="0" w:firstLine="0"/>
        <w:jc w:val="left"/>
      </w:pPr>
      <w:r>
        <w:rPr>
          <w:rFonts w:ascii="Arial" w:hAnsi="Arial"/>
          <w:color w:val="1E1E1E"/>
          <w:sz w:val="21"/>
        </w:rPr>
        <w:t>Recognizing the employee as a whole person is a critical aspect of modern ethical management.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Flexible Work Arrangements:</w:t>
      </w:r>
      <w:r>
        <w:rPr>
          <w:rFonts w:ascii="Arial" w:hAnsi="Arial"/>
          <w:color w:val="1E1E1E"/>
          <w:sz w:val="21"/>
        </w:rPr>
        <w:t xml:space="preserve"> Offer remote or hybrid options that acknowledge the diverse needs of modern families.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Mental Health Resources:</w:t>
      </w:r>
      <w:r>
        <w:rPr>
          <w:rFonts w:ascii="Arial" w:hAnsi="Arial"/>
          <w:color w:val="1E1E1E"/>
          <w:sz w:val="21"/>
        </w:rPr>
        <w:t xml:space="preserve"> Provide comprehensive insurance coverage for therapy and stress-reduction programs.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Boundary Enforcement:</w:t>
      </w:r>
      <w:r>
        <w:rPr>
          <w:rFonts w:ascii="Arial" w:hAnsi="Arial"/>
          <w:color w:val="1E1E1E"/>
          <w:sz w:val="21"/>
        </w:rPr>
        <w:t xml:space="preserve"> Implement policies that discourage communication outside of designated working hours to prevent burnout.</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pursuit of profit and the fulfillment of ethical responsibilities toward employees are not mutually exclusive, but rather interdependent components of a resilient business model. By treating the workforce as a vital stakeholder group, organizations cultivate the loyalty and innovation necessary to thrive in a competitive global marketplace. Ultimately, the long-term viability of a firm depends on its ability to harmonize economic objectives with the fundamental rights and dignity of its human capital.</w:t>
      </w:r>
    </w:p>
    <w:p>
      <w:pPr>
        <w:spacing w:before="40" w:after="120" w:line="276" w:lineRule="auto"/>
        <w:ind w:left="0" w:right="0" w:firstLine="0"/>
        <w:jc w:val="left"/>
      </w:pPr>
      <w:r>
        <w:rPr>
          <w:rFonts w:ascii="Arial" w:hAnsi="Arial"/>
          <w:color w:val="1E1E1E"/>
          <w:sz w:val="21"/>
        </w:rPr>
        <w:t>Ethical management serves as a critical strategic lever that mitigates risk while simultaneously enhancing organizational reputation and operational efficiency. Leaders who embed these values into their corporate culture create a sustainable foundation for growth that transcends short-term market fluctuations. By prioritizing the well-being of the employee, businesses secure their own future as responsible and enduring pillars of the global economy.</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