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Given the following activities, their durations, and predecessors, calculate: • Critical Path • Total Float • Free Float • Independent Float Activity Predecessors Duration (days) A - 5 B A 8 C A 6 D B 4 E B, C 3 F D, E 7</w:t>
      </w:r>
    </w:p>
    <w:p>
      <w:pPr>
        <w:spacing w:before="40" w:after="120" w:line="276" w:lineRule="auto"/>
        <w:ind w:left="0" w:right="0" w:firstLine="0"/>
        <w:jc w:val="left"/>
      </w:pPr>
      <w:r>
        <w:rPr>
          <w:rFonts w:ascii="Arial" w:hAnsi="Arial"/>
          <w:color w:val="1E1E1E"/>
          <w:sz w:val="21"/>
        </w:rPr>
        <w:t>The Critical Path Method (CPM) represents a foundational algorithmic framework in project management, defined as the longest sequence of dependent activities that determines the minimum possible duration for project completion (Kerzner, 2022). By identifying the specific chain of tasks where any delay directly impacts the final delivery date, this methodology allows project managers to prioritize resource allocation and risk mitigation efforts with mathematical precision. The efficacy of the model rests upon the rigorous identification of activity dependencies and the subsequent calculation of temporal buffers, which collectively provide a deterministic roadmap for complex organizational initiatives.</w:t>
      </w:r>
    </w:p>
    <w:p>
      <w:pPr>
        <w:spacing w:before="40" w:after="120" w:line="276" w:lineRule="auto"/>
        <w:ind w:left="0" w:right="0" w:firstLine="0"/>
        <w:jc w:val="left"/>
      </w:pPr>
      <w:r>
        <w:rPr>
          <w:rFonts w:ascii="Arial" w:hAnsi="Arial"/>
          <w:color w:val="1E1E1E"/>
          <w:sz w:val="21"/>
        </w:rPr>
        <w:t>In operational practice, the application of CPM facilitates the synchronization of cross-functional teams by establishing clear temporal boundaries for every project component. Managers leverage these calculations to distinguish between tasks that require immediate supervision and those that possess inherent flexibility, thereby optimizing the utilization of limited capital and human resources. By visualizing these dependencies through network diagrams, organizations can effectively anticipate bottlenecks before they manifest as systemic delays, ensuring that project milestones remain aligned with overarching strategic objectives.</w:t>
      </w:r>
    </w:p>
    <w:p>
      <w:pPr>
        <w:keepNext/>
        <w:spacing w:before="220" w:after="100" w:line="276" w:lineRule="auto"/>
        <w:ind w:left="0" w:right="0" w:firstLine="0"/>
        <w:jc w:val="left"/>
      </w:pPr>
      <w:r>
        <w:rPr>
          <w:rFonts w:ascii="Arial" w:hAnsi="Arial"/>
          <w:b/>
          <w:color w:val="111827"/>
          <w:sz w:val="25"/>
        </w:rPr>
        <w:t>Core Pillars of Project Network Analysis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Deterministic Duration Estimation:</w:t>
      </w:r>
      <w:r>
        <w:rPr>
          <w:rFonts w:ascii="Arial" w:hAnsi="Arial"/>
          <w:color w:val="1E1E1E"/>
          <w:sz w:val="21"/>
        </w:rPr>
        <w:t xml:space="preserve"> The primary pillar involves the systematic assessment of task requirements to establish reliable timeframes, which serve as the numerical basis for all subsequent network calculations. By utilizing historical data and expert judgment, planners assign specific durations to each node, ensuring that the critical path reflects a realistic projection of project velocity. This pillar is essential because any inaccuracy in initial duration estimates propagates through the entire network, potentially leading to flawed scheduling and misinformed decision-making regarding project feasibility.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Temporal Buffer Quantification:</w:t>
      </w:r>
      <w:r>
        <w:rPr>
          <w:rFonts w:ascii="Arial" w:hAnsi="Arial"/>
          <w:color w:val="1E1E1E"/>
          <w:sz w:val="21"/>
        </w:rPr>
        <w:t xml:space="preserve"> This pillar focuses on the mathematical derivation of float—or slack—which quantifies the permissible delay for non-critical activities without compromising the project deadline. Total float identifies the maximum duration a task can be delayed from its earliest start date, while free float measures the delay available before affecting the subsequent task’s start time. Independent float further refines this by assessing the flexibility of a task when both its predecessors and successors are at their most restrictive timing, providing a granular view of schedule resilience.</w:t>
      </w:r>
    </w:p>
    <w:p>
      <w:pPr>
        <w:keepNext/>
        <w:spacing w:before="220" w:after="100" w:line="276" w:lineRule="auto"/>
        <w:ind w:left="0" w:right="0" w:firstLine="0"/>
        <w:jc w:val="left"/>
      </w:pPr>
      <w:r>
        <w:rPr>
          <w:rFonts w:ascii="Arial" w:hAnsi="Arial"/>
          <w:b/>
          <w:color w:val="111827"/>
          <w:sz w:val="25"/>
        </w:rPr>
        <w:t>Importance of Network Scheduling in Contemporary Business</w:t>
      </w:r>
    </w:p>
    <w:p>
      <w:pPr>
        <w:spacing w:before="40" w:after="120" w:line="276" w:lineRule="auto"/>
        <w:ind w:left="0" w:right="0" w:firstLine="0"/>
        <w:jc w:val="left"/>
      </w:pPr>
      <w:r>
        <w:rPr>
          <w:rFonts w:ascii="Arial" w:hAnsi="Arial"/>
          <w:color w:val="1E1E1E"/>
          <w:sz w:val="21"/>
        </w:rPr>
        <w:t>The strategic application of network scheduling provides a competitive edge by aligning granular task execution with high-level corporate goals: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Optimization:</w:t>
      </w:r>
      <w:r>
        <w:rPr>
          <w:rFonts w:ascii="Arial" w:hAnsi="Arial"/>
          <w:color w:val="1E1E1E"/>
          <w:sz w:val="21"/>
        </w:rPr>
        <w:t xml:space="preserve"> Organizations like Boeing utilize network analysis to synchronize supply chain logistics with assembly line milestones, preventing costly inventory overages. By identifying the critical path, firms ensure that specialized labor and expensive machinery are deployed only when absolutely necessary, significantly reducing operational overhead.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w:t>
      </w:r>
      <w:r>
        <w:rPr>
          <w:rFonts w:ascii="Arial" w:hAnsi="Arial"/>
          <w:color w:val="1E1E1E"/>
          <w:sz w:val="21"/>
        </w:rPr>
        <w:t xml:space="preserve"> Tech conglomerates such as Microsoft employ these methodologies to identify high-risk dependencies in software development lifecycles, where a delay in one module might cascade across the entire product suite. This proactive identification allows leadership to allocate contingency funds and additional personnel to critical nodes before they become project-threatening bottlenecks.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Transparency:</w:t>
      </w:r>
      <w:r>
        <w:rPr>
          <w:rFonts w:ascii="Arial" w:hAnsi="Arial"/>
          <w:color w:val="1E1E1E"/>
          <w:sz w:val="21"/>
        </w:rPr>
        <w:t xml:space="preserve"> Large-scale infrastructure firms rely on the visual clarity of critical path diagrams to communicate realistic project timelines to investors and government regulators. This transparency fosters trust by providing empirical evidence of progress and explaining how specific delays are being managed to protect the final delivery date.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Benchmarking:</w:t>
      </w:r>
      <w:r>
        <w:rPr>
          <w:rFonts w:ascii="Arial" w:hAnsi="Arial"/>
          <w:color w:val="1E1E1E"/>
          <w:sz w:val="21"/>
        </w:rPr>
        <w:t xml:space="preserve"> Financial services institutions use these models to establish baseline performance metrics against which actual progress is measured during project execution. By comparing planned durations against realized timelines, management can identify systemic inefficiencies and implement corrective measures to improve future project performance and organizational productivity.</w:t>
      </w:r>
    </w:p>
    <w:p>
      <w:pPr>
        <w:keepNext/>
        <w:spacing w:before="220" w:after="100" w:line="276" w:lineRule="auto"/>
        <w:ind w:left="0" w:right="0" w:firstLine="0"/>
        <w:jc w:val="left"/>
      </w:pPr>
      <w:r>
        <w:rPr>
          <w:rFonts w:ascii="Arial" w:hAnsi="Arial"/>
          <w:b/>
          <w:color w:val="111827"/>
          <w:sz w:val="25"/>
        </w:rPr>
        <w:t>Comparative Analysis: CPM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Critical Path Method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PERT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Agile/Scrum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Lean Six Sigma</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Duration Basis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 deterministic time estimates.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Probabilistic, weighted average estimates.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Iterative, time-boxed sprint cycles.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Variable, process-flow efficiency focus.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Minimize total project duration.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Manage uncertainty in complex tasks.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Enhance product adaptability and speed.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Eliminate waste and process variance.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Scheduling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Sequential task dependency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 assessment of task duration.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Continuous delivery of functional increments.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Continuous improvement of workflow speed.</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Adaptability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Rigid; requires network reconfiguration.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accounts for probabilistic variance.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prioritizes changing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focuses on process optimization.</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Network Scheduling Within Organizations</w:t>
      </w:r>
    </w:p>
    <w:p>
      <w:pPr>
        <w:spacing w:before="40" w:after="120" w:line="276" w:lineRule="auto"/>
        <w:ind w:left="0" w:right="0" w:firstLine="0"/>
        <w:jc w:val="left"/>
      </w:pPr>
      <w:r>
        <w:rPr>
          <w:rFonts w:ascii="Arial" w:hAnsi="Arial"/>
          <w:color w:val="1E1E1E"/>
          <w:sz w:val="21"/>
        </w:rPr>
        <w:t>The successful integration of CPM requires a disciplined approach to both technical calculation and organizational change management:</w:t>
      </w:r>
    </w:p>
    <w:p>
      <w:pPr>
        <w:keepNext/>
        <w:spacing w:before="180" w:after="60" w:line="276" w:lineRule="auto"/>
        <w:ind w:left="0" w:right="0" w:firstLine="0"/>
        <w:jc w:val="left"/>
      </w:pPr>
      <w:r>
        <w:rPr>
          <w:rFonts w:ascii="Arial" w:hAnsi="Arial"/>
          <w:b/>
          <w:color w:val="111827"/>
          <w:sz w:val="22"/>
        </w:rPr>
        <w:t>1. Data Integrity and Validation</w:t>
      </w:r>
    </w:p>
    <w:p>
      <w:pPr>
        <w:spacing w:before="40" w:after="120" w:line="276" w:lineRule="auto"/>
        <w:ind w:left="0" w:right="0" w:firstLine="0"/>
        <w:jc w:val="left"/>
      </w:pPr>
      <w:r>
        <w:rPr>
          <w:rFonts w:ascii="Arial" w:hAnsi="Arial"/>
          <w:color w:val="1E1E1E"/>
          <w:sz w:val="21"/>
        </w:rPr>
        <w:t>Ensuring the accuracy of input data is the foundational step for any reliable project schedule.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Reporting:</w:t>
      </w:r>
      <w:r>
        <w:rPr>
          <w:rFonts w:ascii="Arial" w:hAnsi="Arial"/>
          <w:color w:val="1E1E1E"/>
          <w:sz w:val="21"/>
        </w:rPr>
        <w:t xml:space="preserve"> Implementing uniform templates for duration estimation reduces bias and ensures that data from different departments is comparable.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Peer Review Cycles:</w:t>
      </w:r>
      <w:r>
        <w:rPr>
          <w:rFonts w:ascii="Arial" w:hAnsi="Arial"/>
          <w:color w:val="1E1E1E"/>
          <w:sz w:val="21"/>
        </w:rPr>
        <w:t xml:space="preserve"> Subjecting initial time estimates to rigorous peer review prevents overly optimistic scheduling that often leads to project failure.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Historical Benchmarking:</w:t>
      </w:r>
      <w:r>
        <w:rPr>
          <w:rFonts w:ascii="Arial" w:hAnsi="Arial"/>
          <w:color w:val="1E1E1E"/>
          <w:sz w:val="21"/>
        </w:rPr>
        <w:t xml:space="preserve"> Integrating past performance data into the estimation process ensures that current projections are grounded in organizational reality.</w:t>
      </w:r>
    </w:p>
    <w:p>
      <w:pPr>
        <w:keepNext/>
        <w:spacing w:before="180" w:after="60" w:line="276" w:lineRule="auto"/>
        <w:ind w:left="0" w:right="0" w:firstLine="0"/>
        <w:jc w:val="left"/>
      </w:pPr>
      <w:r>
        <w:rPr>
          <w:rFonts w:ascii="Arial" w:hAnsi="Arial"/>
          <w:b/>
          <w:color w:val="111827"/>
          <w:sz w:val="22"/>
        </w:rPr>
        <w:t>2. Dynamic Schedule Maintenance</w:t>
      </w:r>
    </w:p>
    <w:p>
      <w:pPr>
        <w:spacing w:before="40" w:after="120" w:line="276" w:lineRule="auto"/>
        <w:ind w:left="0" w:right="0" w:firstLine="0"/>
        <w:jc w:val="left"/>
      </w:pPr>
      <w:r>
        <w:rPr>
          <w:rFonts w:ascii="Arial" w:hAnsi="Arial"/>
          <w:color w:val="1E1E1E"/>
          <w:sz w:val="21"/>
        </w:rPr>
        <w:t>The project network must evolve in response to real-world performance metrics.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Rolling Wave Planning:</w:t>
      </w:r>
      <w:r>
        <w:rPr>
          <w:rFonts w:ascii="Arial" w:hAnsi="Arial"/>
          <w:color w:val="1E1E1E"/>
          <w:sz w:val="21"/>
        </w:rPr>
        <w:t xml:space="preserve"> Updating the project network as more information becomes available allows managers to refine future milestones without disrupting the entire plan.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Variance Analysis:</w:t>
      </w:r>
      <w:r>
        <w:rPr>
          <w:rFonts w:ascii="Arial" w:hAnsi="Arial"/>
          <w:color w:val="1E1E1E"/>
          <w:sz w:val="21"/>
        </w:rPr>
        <w:t xml:space="preserve"> Conducting weekly reviews of actual versus planned task durations allows for the early identification of potential critical path shifts.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Integration:</w:t>
      </w:r>
      <w:r>
        <w:rPr>
          <w:rFonts w:ascii="Arial" w:hAnsi="Arial"/>
          <w:color w:val="1E1E1E"/>
          <w:sz w:val="21"/>
        </w:rPr>
        <w:t xml:space="preserve"> Utilizing project management software to automatically recalculate float values when delays occur provides real-time decision support.</w:t>
      </w:r>
    </w:p>
    <w:p>
      <w:pPr>
        <w:keepNext/>
        <w:spacing w:before="180" w:after="60" w:line="276" w:lineRule="auto"/>
        <w:ind w:left="0" w:right="0" w:firstLine="0"/>
        <w:jc w:val="left"/>
      </w:pPr>
      <w:r>
        <w:rPr>
          <w:rFonts w:ascii="Arial" w:hAnsi="Arial"/>
          <w:b/>
          <w:color w:val="111827"/>
          <w:sz w:val="22"/>
        </w:rPr>
        <w:t>3. Strategic Buffer Management</w:t>
      </w:r>
    </w:p>
    <w:p>
      <w:pPr>
        <w:spacing w:before="40" w:after="120" w:line="276" w:lineRule="auto"/>
        <w:ind w:left="0" w:right="0" w:firstLine="0"/>
        <w:jc w:val="left"/>
      </w:pPr>
      <w:r>
        <w:rPr>
          <w:rFonts w:ascii="Arial" w:hAnsi="Arial"/>
          <w:color w:val="1E1E1E"/>
          <w:sz w:val="21"/>
        </w:rPr>
        <w:t>Allocating resources to manage float effectively prevents minor delays from becoming critical issues.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Critical Path Protection:</w:t>
      </w:r>
      <w:r>
        <w:rPr>
          <w:rFonts w:ascii="Arial" w:hAnsi="Arial"/>
          <w:color w:val="1E1E1E"/>
          <w:sz w:val="21"/>
        </w:rPr>
        <w:t xml:space="preserve"> Prioritizing resources for tasks on the critical path ensures that the project’s end date remains shielded from secondary task disruptions.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Float Utilization:</w:t>
      </w:r>
      <w:r>
        <w:rPr>
          <w:rFonts w:ascii="Arial" w:hAnsi="Arial"/>
          <w:color w:val="1E1E1E"/>
          <w:sz w:val="21"/>
        </w:rPr>
        <w:t xml:space="preserve"> Strategically using the available total float to smooth resource requirements across the project lifecycle prevents burnout and equipment contention.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Contingency Planning:</w:t>
      </w:r>
      <w:r>
        <w:rPr>
          <w:rFonts w:ascii="Arial" w:hAnsi="Arial"/>
          <w:color w:val="1E1E1E"/>
          <w:sz w:val="21"/>
        </w:rPr>
        <w:t xml:space="preserve"> Establishing clear protocols for when and how to consume float reserves protects the project from unpredictable external variables.</w:t>
      </w:r>
    </w:p>
    <w:p>
      <w:pPr>
        <w:keepNext/>
        <w:spacing w:before="180" w:after="60" w:line="276" w:lineRule="auto"/>
        <w:ind w:left="0" w:right="0" w:firstLine="0"/>
        <w:jc w:val="left"/>
      </w:pPr>
      <w:r>
        <w:rPr>
          <w:rFonts w:ascii="Arial" w:hAnsi="Arial"/>
          <w:b/>
          <w:color w:val="111827"/>
          <w:sz w:val="22"/>
        </w:rPr>
        <w:t>4. Cross-Functional Alignment</w:t>
      </w:r>
    </w:p>
    <w:p>
      <w:pPr>
        <w:spacing w:before="40" w:after="120" w:line="276" w:lineRule="auto"/>
        <w:ind w:left="0" w:right="0" w:firstLine="0"/>
        <w:jc w:val="left"/>
      </w:pPr>
      <w:r>
        <w:rPr>
          <w:rFonts w:ascii="Arial" w:hAnsi="Arial"/>
          <w:color w:val="1E1E1E"/>
          <w:sz w:val="21"/>
        </w:rPr>
        <w:t>Effective scheduling requires the commitment of all stakeholders involved in the project chain.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Integrated Planning Sessions:</w:t>
      </w:r>
      <w:r>
        <w:rPr>
          <w:rFonts w:ascii="Arial" w:hAnsi="Arial"/>
          <w:color w:val="1E1E1E"/>
          <w:sz w:val="21"/>
        </w:rPr>
        <w:t xml:space="preserve"> Bringing together leads from various departments ensures that task dependencies are accurately captured and understood by all parties.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Shared Accountability:</w:t>
      </w:r>
      <w:r>
        <w:rPr>
          <w:rFonts w:ascii="Arial" w:hAnsi="Arial"/>
          <w:color w:val="1E1E1E"/>
          <w:sz w:val="21"/>
        </w:rPr>
        <w:t xml:space="preserve"> Aligning department-level performance incentives with project-level milestones fosters a collaborative environment focused on collective success.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Communication Cascades:</w:t>
      </w:r>
      <w:r>
        <w:rPr>
          <w:rFonts w:ascii="Arial" w:hAnsi="Arial"/>
          <w:color w:val="1E1E1E"/>
          <w:sz w:val="21"/>
        </w:rPr>
        <w:t xml:space="preserve"> Maintaining a consistent cadence of updates ensures that all team members are aware of how their specific tasks impact the broader critical path.</w:t>
      </w:r>
    </w:p>
    <w:p>
      <w:pPr>
        <w:keepNext/>
        <w:spacing w:before="180" w:after="60" w:line="276" w:lineRule="auto"/>
        <w:ind w:left="0" w:right="0" w:firstLine="0"/>
        <w:jc w:val="left"/>
      </w:pPr>
      <w:r>
        <w:rPr>
          <w:rFonts w:ascii="Arial" w:hAnsi="Arial"/>
          <w:b/>
          <w:color w:val="111827"/>
          <w:sz w:val="22"/>
        </w:rPr>
        <w:t>5. Continuous Capability Development</w:t>
      </w:r>
    </w:p>
    <w:p>
      <w:pPr>
        <w:spacing w:before="40" w:after="120" w:line="276" w:lineRule="auto"/>
        <w:ind w:left="0" w:right="0" w:firstLine="0"/>
        <w:jc w:val="left"/>
      </w:pPr>
      <w:r>
        <w:rPr>
          <w:rFonts w:ascii="Arial" w:hAnsi="Arial"/>
          <w:color w:val="1E1E1E"/>
          <w:sz w:val="21"/>
        </w:rPr>
        <w:t>Organizations must invest in the skills necessary to maintain sophisticated scheduling systems.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Tool Proficiency Training:</w:t>
      </w:r>
      <w:r>
        <w:rPr>
          <w:rFonts w:ascii="Arial" w:hAnsi="Arial"/>
          <w:color w:val="1E1E1E"/>
          <w:sz w:val="21"/>
        </w:rPr>
        <w:t xml:space="preserve"> Providing comprehensive training on project management software ensures that team members can accurately update and interpret network data.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Methodological Literacy:</w:t>
      </w:r>
      <w:r>
        <w:rPr>
          <w:rFonts w:ascii="Arial" w:hAnsi="Arial"/>
          <w:color w:val="1E1E1E"/>
          <w:sz w:val="21"/>
        </w:rPr>
        <w:t xml:space="preserve"> Educating managers on the nuances of float and dependency management improves the quality of strategic project decisions.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Lessons Learned Integration:</w:t>
      </w:r>
      <w:r>
        <w:rPr>
          <w:rFonts w:ascii="Arial" w:hAnsi="Arial"/>
          <w:color w:val="1E1E1E"/>
          <w:sz w:val="21"/>
        </w:rPr>
        <w:t xml:space="preserve"> Conducting post-project reviews to analyze why the critical path shifted enables the continuous improvement of the organization’s scheduling capabilities.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calculation of the critical path, total float, free float, and independent float provides the structural integrity required to navigate complex organizational projects. By mastering these quantitative metrics, project managers transform abstract timelines into actionable strategies that safeguard organizational objectives against the inherent risks of delay. This disciplined approach ensures that resources are directed where they provide the most value, securing project completion within the defined constraints.</w:t>
      </w:r>
    </w:p>
    <w:p>
      <w:pPr>
        <w:spacing w:before="40" w:after="120" w:line="276" w:lineRule="auto"/>
        <w:ind w:left="0" w:right="0" w:firstLine="0"/>
        <w:jc w:val="left"/>
      </w:pPr>
      <w:r>
        <w:rPr>
          <w:rFonts w:ascii="Arial" w:hAnsi="Arial"/>
          <w:color w:val="1E1E1E"/>
          <w:sz w:val="21"/>
        </w:rPr>
        <w:t>Ultimately, the mastery of network analysis serves as a cornerstone of professional project management, distinguishing high-performing organizations from those prone to systemic inefficiency. When leaders synthesize these mathematical insights with robust communication and adaptive management, they create a resilient framework capable of withstanding the pressures of modern business. The pursuit of scheduling precision is not merely an administrative exercise but a vital strategic imperative for long-term organizational success.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